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27C8F" w14:textId="6153A85B" w:rsidR="00204287" w:rsidRPr="00204287" w:rsidRDefault="00204287" w:rsidP="00204287">
      <w:pPr>
        <w:rPr>
          <w:rFonts w:ascii="Arial" w:eastAsia="Times New Roman" w:hAnsi="Arial" w:cs="Arial"/>
          <w:b/>
          <w:bCs/>
          <w:i/>
          <w:iCs/>
          <w:color w:val="000000"/>
          <w:sz w:val="24"/>
          <w:szCs w:val="24"/>
        </w:rPr>
      </w:pPr>
      <w:r w:rsidRPr="00204287">
        <w:rPr>
          <w:rFonts w:ascii="Arial" w:eastAsia="Times New Roman" w:hAnsi="Arial" w:cs="Arial"/>
          <w:b/>
          <w:bCs/>
          <w:color w:val="000000"/>
          <w:sz w:val="24"/>
          <w:szCs w:val="24"/>
        </w:rPr>
        <w:t xml:space="preserve">Chapter 18: </w:t>
      </w:r>
      <w:r>
        <w:rPr>
          <w:rFonts w:ascii="Arial" w:eastAsia="Times New Roman" w:hAnsi="Arial" w:cs="Arial"/>
          <w:b/>
          <w:bCs/>
          <w:color w:val="000000"/>
          <w:sz w:val="24"/>
          <w:szCs w:val="24"/>
        </w:rPr>
        <w:t>‘</w:t>
      </w:r>
      <w:r w:rsidRPr="00204287">
        <w:rPr>
          <w:rFonts w:ascii="Arial" w:eastAsia="Times New Roman" w:hAnsi="Arial" w:cs="Arial"/>
          <w:b/>
          <w:bCs/>
          <w:color w:val="000000"/>
          <w:sz w:val="24"/>
          <w:szCs w:val="24"/>
        </w:rPr>
        <w:t>Fashion and design law</w:t>
      </w:r>
      <w:r>
        <w:rPr>
          <w:rFonts w:ascii="Arial" w:eastAsia="Times New Roman" w:hAnsi="Arial" w:cs="Arial"/>
          <w:b/>
          <w:bCs/>
          <w:color w:val="000000"/>
          <w:sz w:val="24"/>
          <w:szCs w:val="24"/>
        </w:rPr>
        <w:t>’</w:t>
      </w:r>
      <w:r>
        <w:rPr>
          <w:rFonts w:ascii="Arial" w:eastAsia="Times New Roman" w:hAnsi="Arial" w:cs="Arial"/>
          <w:b/>
          <w:bCs/>
          <w:color w:val="000000"/>
          <w:sz w:val="24"/>
          <w:szCs w:val="24"/>
        </w:rPr>
        <w:t>,</w:t>
      </w:r>
      <w:r w:rsidRPr="00B90EFF">
        <w:rPr>
          <w:rFonts w:ascii="Arial" w:eastAsia="Times New Roman" w:hAnsi="Arial" w:cs="Arial"/>
          <w:b/>
          <w:bCs/>
          <w:color w:val="000000"/>
          <w:sz w:val="24"/>
          <w:szCs w:val="24"/>
        </w:rPr>
        <w:t> </w:t>
      </w:r>
      <w:r>
        <w:rPr>
          <w:rFonts w:ascii="Arial" w:eastAsia="Times New Roman" w:hAnsi="Arial" w:cs="Arial"/>
          <w:b/>
          <w:bCs/>
          <w:color w:val="000000"/>
          <w:sz w:val="24"/>
          <w:szCs w:val="24"/>
        </w:rPr>
        <w:t>i</w:t>
      </w:r>
      <w:r w:rsidRPr="00B90EFF">
        <w:rPr>
          <w:rFonts w:ascii="Arial" w:eastAsia="Times New Roman" w:hAnsi="Arial" w:cs="Arial"/>
          <w:b/>
          <w:bCs/>
          <w:color w:val="000000"/>
          <w:sz w:val="24"/>
          <w:szCs w:val="24"/>
        </w:rPr>
        <w:t>n</w:t>
      </w:r>
      <w:r>
        <w:rPr>
          <w:rFonts w:ascii="Arial" w:eastAsia="Times New Roman" w:hAnsi="Arial" w:cs="Arial"/>
          <w:b/>
          <w:bCs/>
          <w:color w:val="000000"/>
          <w:sz w:val="24"/>
          <w:szCs w:val="24"/>
        </w:rPr>
        <w:t xml:space="preserve"> </w:t>
      </w:r>
      <w:r w:rsidRPr="00204287">
        <w:rPr>
          <w:rFonts w:ascii="Arial" w:eastAsia="Times New Roman" w:hAnsi="Arial" w:cs="Arial"/>
          <w:b/>
          <w:bCs/>
          <w:color w:val="000000"/>
          <w:sz w:val="24"/>
          <w:szCs w:val="24"/>
        </w:rPr>
        <w:t xml:space="preserve">Dana </w:t>
      </w:r>
      <w:proofErr w:type="spellStart"/>
      <w:r w:rsidRPr="00204287">
        <w:rPr>
          <w:rFonts w:ascii="Arial" w:eastAsia="Times New Roman" w:hAnsi="Arial" w:cs="Arial"/>
          <w:b/>
          <w:bCs/>
          <w:color w:val="000000"/>
          <w:sz w:val="24"/>
          <w:szCs w:val="24"/>
        </w:rPr>
        <w:t>Beldiman</w:t>
      </w:r>
      <w:proofErr w:type="spellEnd"/>
      <w:r>
        <w:rPr>
          <w:rFonts w:ascii="Arial" w:eastAsia="Times New Roman" w:hAnsi="Arial" w:cs="Arial"/>
          <w:b/>
          <w:bCs/>
          <w:color w:val="000000"/>
          <w:sz w:val="24"/>
          <w:szCs w:val="24"/>
        </w:rPr>
        <w:t xml:space="preserve"> (ed)</w:t>
      </w:r>
      <w:r>
        <w:rPr>
          <w:rFonts w:ascii="Arial" w:eastAsia="Times New Roman" w:hAnsi="Arial" w:cs="Arial"/>
          <w:b/>
          <w:bCs/>
          <w:i/>
          <w:iCs/>
          <w:color w:val="000000"/>
          <w:sz w:val="24"/>
          <w:szCs w:val="24"/>
        </w:rPr>
        <w:t xml:space="preserve"> </w:t>
      </w:r>
      <w:r w:rsidRPr="00204287">
        <w:rPr>
          <w:rFonts w:ascii="Arial" w:eastAsia="Times New Roman" w:hAnsi="Arial" w:cs="Arial"/>
          <w:b/>
          <w:bCs/>
          <w:i/>
          <w:iCs/>
          <w:color w:val="000000"/>
          <w:sz w:val="24"/>
          <w:szCs w:val="24"/>
        </w:rPr>
        <w:t>Design Law</w:t>
      </w:r>
      <w:r>
        <w:rPr>
          <w:rFonts w:ascii="Arial" w:eastAsia="Times New Roman" w:hAnsi="Arial" w:cs="Arial"/>
          <w:b/>
          <w:bCs/>
          <w:i/>
          <w:iCs/>
          <w:color w:val="000000"/>
          <w:sz w:val="24"/>
          <w:szCs w:val="24"/>
        </w:rPr>
        <w:t xml:space="preserve"> </w:t>
      </w:r>
      <w:r w:rsidRPr="00204287">
        <w:rPr>
          <w:rFonts w:ascii="Arial" w:eastAsia="Times New Roman" w:hAnsi="Arial" w:cs="Arial"/>
          <w:b/>
          <w:bCs/>
          <w:i/>
          <w:iCs/>
          <w:color w:val="000000"/>
          <w:sz w:val="24"/>
          <w:szCs w:val="24"/>
        </w:rPr>
        <w:t>Global Law and Practice</w:t>
      </w:r>
      <w:r w:rsidRPr="00B90EFF">
        <w:rPr>
          <w:rFonts w:ascii="Arial" w:eastAsia="Times New Roman" w:hAnsi="Arial" w:cs="Arial"/>
          <w:b/>
          <w:bCs/>
          <w:color w:val="000000"/>
          <w:sz w:val="24"/>
          <w:szCs w:val="24"/>
        </w:rPr>
        <w:t xml:space="preserve">. </w:t>
      </w:r>
      <w:r w:rsidRPr="00204287">
        <w:rPr>
          <w:rFonts w:ascii="Arial" w:eastAsia="Times New Roman" w:hAnsi="Arial" w:cs="Arial"/>
          <w:b/>
          <w:bCs/>
          <w:color w:val="000000"/>
          <w:sz w:val="24"/>
          <w:szCs w:val="24"/>
        </w:rPr>
        <w:t>Edward Elgar Publishing</w:t>
      </w:r>
      <w:r>
        <w:rPr>
          <w:rFonts w:ascii="Arial" w:eastAsia="Times New Roman" w:hAnsi="Arial" w:cs="Arial"/>
          <w:b/>
          <w:bCs/>
          <w:color w:val="000000"/>
          <w:sz w:val="24"/>
          <w:szCs w:val="24"/>
        </w:rPr>
        <w:t xml:space="preserve">, </w:t>
      </w:r>
      <w:r w:rsidRPr="00204287">
        <w:rPr>
          <w:rFonts w:ascii="Arial" w:eastAsia="Times New Roman" w:hAnsi="Arial" w:cs="Arial"/>
          <w:b/>
          <w:bCs/>
          <w:color w:val="000000"/>
          <w:sz w:val="24"/>
          <w:szCs w:val="24"/>
        </w:rPr>
        <w:t>2024</w:t>
      </w:r>
      <w:r>
        <w:rPr>
          <w:rFonts w:ascii="Arial" w:eastAsia="Times New Roman" w:hAnsi="Arial" w:cs="Arial"/>
          <w:b/>
          <w:bCs/>
          <w:color w:val="000000"/>
          <w:sz w:val="24"/>
          <w:szCs w:val="24"/>
        </w:rPr>
        <w:t>.</w:t>
      </w:r>
    </w:p>
    <w:p w14:paraId="2D013718" w14:textId="6D3C8E69" w:rsidR="00204287" w:rsidRDefault="00204287" w:rsidP="00204287">
      <w:pPr>
        <w:rPr>
          <w:rFonts w:ascii="Arial" w:eastAsia="Times New Roman" w:hAnsi="Arial" w:cs="Arial"/>
          <w:color w:val="000000"/>
          <w:sz w:val="24"/>
          <w:szCs w:val="24"/>
        </w:rPr>
      </w:pPr>
      <w:r w:rsidRPr="00B90EFF">
        <w:rPr>
          <w:rFonts w:ascii="Arial" w:eastAsia="Times New Roman" w:hAnsi="Arial" w:cs="Arial"/>
          <w:color w:val="000000"/>
          <w:sz w:val="24"/>
          <w:szCs w:val="24"/>
        </w:rPr>
        <w:t xml:space="preserve">This is an Accepted Manuscript of a book chapter published by </w:t>
      </w:r>
      <w:r w:rsidRPr="00204287">
        <w:rPr>
          <w:rFonts w:ascii="Arial" w:eastAsia="Times New Roman" w:hAnsi="Arial" w:cs="Arial"/>
          <w:color w:val="000000"/>
          <w:sz w:val="24"/>
          <w:szCs w:val="24"/>
        </w:rPr>
        <w:t xml:space="preserve">Edward Elgar Publishing </w:t>
      </w:r>
      <w:r w:rsidRPr="00B90EFF">
        <w:rPr>
          <w:rFonts w:ascii="Arial" w:eastAsia="Times New Roman" w:hAnsi="Arial" w:cs="Arial"/>
          <w:color w:val="000000"/>
          <w:sz w:val="24"/>
          <w:szCs w:val="24"/>
        </w:rPr>
        <w:t xml:space="preserve">in </w:t>
      </w:r>
      <w:r w:rsidRPr="00204287">
        <w:rPr>
          <w:rFonts w:ascii="Arial" w:eastAsia="Times New Roman" w:hAnsi="Arial" w:cs="Arial"/>
          <w:i/>
          <w:iCs/>
          <w:color w:val="000000"/>
          <w:sz w:val="24"/>
          <w:szCs w:val="24"/>
        </w:rPr>
        <w:t xml:space="preserve">Design Law Global Law and Practice </w:t>
      </w:r>
      <w:r w:rsidRPr="00B90EFF">
        <w:rPr>
          <w:rFonts w:ascii="Arial" w:eastAsia="Times New Roman" w:hAnsi="Arial" w:cs="Arial"/>
          <w:color w:val="000000"/>
          <w:sz w:val="24"/>
          <w:szCs w:val="24"/>
        </w:rPr>
        <w:t>o</w:t>
      </w:r>
      <w:r>
        <w:rPr>
          <w:rFonts w:ascii="Arial" w:eastAsia="Times New Roman" w:hAnsi="Arial" w:cs="Arial"/>
          <w:color w:val="000000"/>
          <w:sz w:val="24"/>
          <w:szCs w:val="24"/>
        </w:rPr>
        <w:t xml:space="preserve">n 17 </w:t>
      </w:r>
      <w:r w:rsidRPr="00204287">
        <w:rPr>
          <w:rFonts w:ascii="Arial" w:eastAsia="Times New Roman" w:hAnsi="Arial" w:cs="Arial"/>
          <w:color w:val="000000"/>
          <w:sz w:val="24"/>
          <w:szCs w:val="24"/>
        </w:rPr>
        <w:t>Sep 2024</w:t>
      </w:r>
      <w:r w:rsidRPr="00B90EFF">
        <w:rPr>
          <w:rFonts w:ascii="Arial" w:eastAsia="Times New Roman" w:hAnsi="Arial" w:cs="Arial"/>
          <w:color w:val="000000"/>
          <w:sz w:val="24"/>
          <w:szCs w:val="24"/>
        </w:rPr>
        <w:t>, available online:</w:t>
      </w:r>
    </w:p>
    <w:p w14:paraId="61155E79" w14:textId="77777777" w:rsidR="00204287" w:rsidRDefault="00204287" w:rsidP="00204287">
      <w:pPr>
        <w:rPr>
          <w:rFonts w:ascii="Arial" w:eastAsia="Times New Roman" w:hAnsi="Arial" w:cs="Arial"/>
          <w:color w:val="000000"/>
          <w:sz w:val="24"/>
          <w:szCs w:val="24"/>
        </w:rPr>
      </w:pPr>
      <w:hyperlink r:id="rId11" w:history="1">
        <w:r w:rsidRPr="003B11DF">
          <w:rPr>
            <w:rStyle w:val="Hyperlink"/>
            <w:rFonts w:ascii="Arial" w:eastAsia="Times New Roman" w:hAnsi="Arial" w:cs="Arial"/>
            <w:sz w:val="24"/>
            <w:szCs w:val="24"/>
          </w:rPr>
          <w:t>https://www.elgaronline.com/edcollchap/book/9781800886520/book-part-9781800886520-32.xml</w:t>
        </w:r>
      </w:hyperlink>
      <w:r>
        <w:rPr>
          <w:rFonts w:ascii="Arial" w:eastAsia="Times New Roman" w:hAnsi="Arial" w:cs="Arial"/>
          <w:color w:val="000000"/>
          <w:sz w:val="24"/>
          <w:szCs w:val="24"/>
        </w:rPr>
        <w:t xml:space="preserve"> </w:t>
      </w:r>
    </w:p>
    <w:p w14:paraId="32C40ACC" w14:textId="77777777" w:rsidR="00204287" w:rsidRDefault="00204287" w:rsidP="00204287">
      <w:pPr>
        <w:rPr>
          <w:rFonts w:ascii="Arial" w:eastAsia="Times New Roman" w:hAnsi="Arial" w:cs="Arial"/>
          <w:color w:val="000000"/>
          <w:sz w:val="24"/>
          <w:szCs w:val="24"/>
        </w:rPr>
      </w:pPr>
      <w:r>
        <w:rPr>
          <w:rFonts w:ascii="Arial" w:eastAsia="Times New Roman" w:hAnsi="Arial" w:cs="Arial"/>
          <w:color w:val="000000"/>
          <w:sz w:val="24"/>
          <w:szCs w:val="24"/>
        </w:rPr>
        <w:t>and</w:t>
      </w:r>
    </w:p>
    <w:p w14:paraId="21190C5B" w14:textId="6CC8FB87" w:rsidR="00204287" w:rsidRDefault="00014B53" w:rsidP="00204287">
      <w:pPr>
        <w:rPr>
          <w:rFonts w:ascii="Arial" w:eastAsia="Times New Roman" w:hAnsi="Arial" w:cs="Arial"/>
          <w:color w:val="000000"/>
          <w:sz w:val="24"/>
          <w:szCs w:val="24"/>
        </w:rPr>
      </w:pPr>
      <w:hyperlink r:id="rId12" w:history="1">
        <w:r w:rsidRPr="003B11DF">
          <w:rPr>
            <w:rStyle w:val="Hyperlink"/>
            <w:rFonts w:ascii="Arial" w:eastAsia="Times New Roman" w:hAnsi="Arial" w:cs="Arial"/>
            <w:sz w:val="24"/>
            <w:szCs w:val="24"/>
          </w:rPr>
          <w:t>https://www.elgaronline.com/edcollbook/book/9781800886520/9781800886520.xml</w:t>
        </w:r>
      </w:hyperlink>
      <w:r w:rsidR="00204287">
        <w:rPr>
          <w:rFonts w:ascii="Arial" w:eastAsia="Times New Roman" w:hAnsi="Arial" w:cs="Arial"/>
          <w:color w:val="000000"/>
          <w:sz w:val="24"/>
          <w:szCs w:val="24"/>
        </w:rPr>
        <w:t xml:space="preserve">  </w:t>
      </w:r>
      <w:r w:rsidR="00204287">
        <w:rPr>
          <w:rFonts w:ascii="Arial" w:eastAsia="Times New Roman" w:hAnsi="Arial" w:cs="Arial"/>
          <w:color w:val="000000"/>
          <w:sz w:val="24"/>
          <w:szCs w:val="24"/>
        </w:rPr>
        <w:t>(Print ISBN:</w:t>
      </w:r>
      <w:r w:rsidR="00204287" w:rsidRPr="00204287">
        <w:t xml:space="preserve"> </w:t>
      </w:r>
      <w:r w:rsidR="00204287" w:rsidRPr="00204287">
        <w:rPr>
          <w:rFonts w:ascii="Arial" w:eastAsia="Times New Roman" w:hAnsi="Arial" w:cs="Arial"/>
          <w:color w:val="000000"/>
          <w:sz w:val="24"/>
          <w:szCs w:val="24"/>
        </w:rPr>
        <w:t>9781800886513</w:t>
      </w:r>
      <w:r w:rsidR="00204287">
        <w:rPr>
          <w:rFonts w:ascii="Arial" w:eastAsia="Times New Roman" w:hAnsi="Arial" w:cs="Arial"/>
          <w:color w:val="000000"/>
          <w:sz w:val="24"/>
          <w:szCs w:val="24"/>
        </w:rPr>
        <w:t xml:space="preserve"> </w:t>
      </w:r>
      <w:r w:rsidR="00204287">
        <w:rPr>
          <w:rFonts w:ascii="Arial" w:eastAsia="Times New Roman" w:hAnsi="Arial" w:cs="Arial"/>
          <w:color w:val="000000"/>
          <w:sz w:val="24"/>
          <w:szCs w:val="24"/>
        </w:rPr>
        <w:t xml:space="preserve">/ </w:t>
      </w:r>
      <w:r w:rsidR="00204287" w:rsidRPr="00B90EFF">
        <w:rPr>
          <w:rFonts w:ascii="Arial" w:eastAsia="Times New Roman" w:hAnsi="Arial" w:cs="Arial"/>
          <w:color w:val="000000"/>
          <w:sz w:val="24"/>
          <w:szCs w:val="24"/>
        </w:rPr>
        <w:t>eBook ISBN</w:t>
      </w:r>
      <w:r w:rsidR="00204287">
        <w:rPr>
          <w:rFonts w:ascii="Arial" w:eastAsia="Times New Roman" w:hAnsi="Arial" w:cs="Arial"/>
          <w:color w:val="000000"/>
          <w:sz w:val="24"/>
          <w:szCs w:val="24"/>
        </w:rPr>
        <w:t>:</w:t>
      </w:r>
      <w:r w:rsidR="00204287" w:rsidRPr="00204287">
        <w:t xml:space="preserve"> </w:t>
      </w:r>
      <w:r w:rsidR="00204287" w:rsidRPr="00204287">
        <w:rPr>
          <w:rFonts w:ascii="Arial" w:eastAsia="Times New Roman" w:hAnsi="Arial" w:cs="Arial"/>
          <w:color w:val="000000"/>
          <w:sz w:val="24"/>
          <w:szCs w:val="24"/>
        </w:rPr>
        <w:t>9781800886520</w:t>
      </w:r>
      <w:r w:rsidR="00204287">
        <w:rPr>
          <w:rFonts w:ascii="Arial" w:eastAsia="Times New Roman" w:hAnsi="Arial" w:cs="Arial"/>
          <w:color w:val="000000"/>
          <w:sz w:val="24"/>
          <w:szCs w:val="24"/>
        </w:rPr>
        <w:t>)</w:t>
      </w:r>
    </w:p>
    <w:p w14:paraId="58FBB0E2" w14:textId="6A091DDA" w:rsidR="00204287" w:rsidRDefault="00204287" w:rsidP="00204287">
      <w:pPr>
        <w:rPr>
          <w:rFonts w:ascii="Arial" w:eastAsia="Times New Roman" w:hAnsi="Arial" w:cs="Arial"/>
          <w:color w:val="000000"/>
          <w:sz w:val="24"/>
          <w:szCs w:val="24"/>
        </w:rPr>
      </w:pPr>
      <w:r>
        <w:rPr>
          <w:rFonts w:ascii="Arial" w:eastAsia="Times New Roman" w:hAnsi="Arial" w:cs="Arial"/>
          <w:color w:val="000000"/>
          <w:sz w:val="24"/>
          <w:szCs w:val="24"/>
        </w:rPr>
        <w:t xml:space="preserve">DOI: </w:t>
      </w:r>
      <w:hyperlink r:id="rId13" w:history="1">
        <w:r w:rsidRPr="003B11DF">
          <w:rPr>
            <w:rStyle w:val="Hyperlink"/>
            <w:rFonts w:ascii="Arial" w:eastAsia="Times New Roman" w:hAnsi="Arial" w:cs="Arial"/>
            <w:sz w:val="24"/>
            <w:szCs w:val="24"/>
          </w:rPr>
          <w:t>https://doi.org/10.4337/9781800886520</w:t>
        </w:r>
      </w:hyperlink>
      <w:r>
        <w:rPr>
          <w:rFonts w:ascii="Arial" w:eastAsia="Times New Roman" w:hAnsi="Arial" w:cs="Arial"/>
          <w:color w:val="000000"/>
          <w:sz w:val="24"/>
          <w:szCs w:val="24"/>
        </w:rPr>
        <w:t xml:space="preserve"> </w:t>
      </w:r>
    </w:p>
    <w:p w14:paraId="4ABDC649" w14:textId="77777777" w:rsidR="00204287" w:rsidRDefault="00204287" w:rsidP="00204287">
      <w:r w:rsidRPr="00131E5C">
        <w:rPr>
          <w:rFonts w:ascii="Arial" w:eastAsia="Times New Roman" w:hAnsi="Arial" w:cs="Arial"/>
          <w:color w:val="000000"/>
          <w:sz w:val="24"/>
          <w:szCs w:val="24"/>
        </w:rPr>
        <w:t>It is deposited under the terms of the Creative Commons Attribution-</w:t>
      </w:r>
      <w:proofErr w:type="spellStart"/>
      <w:r w:rsidRPr="00131E5C">
        <w:rPr>
          <w:rFonts w:ascii="Arial" w:eastAsia="Times New Roman" w:hAnsi="Arial" w:cs="Arial"/>
          <w:color w:val="000000"/>
          <w:sz w:val="24"/>
          <w:szCs w:val="24"/>
        </w:rPr>
        <w:t>NonCommercial</w:t>
      </w:r>
      <w:proofErr w:type="spellEnd"/>
      <w:r w:rsidRPr="00131E5C">
        <w:rPr>
          <w:rFonts w:ascii="Arial" w:eastAsia="Times New Roman" w:hAnsi="Arial" w:cs="Arial"/>
          <w:color w:val="000000"/>
          <w:sz w:val="24"/>
          <w:szCs w:val="24"/>
        </w:rPr>
        <w:t>-</w:t>
      </w:r>
      <w:proofErr w:type="spellStart"/>
      <w:r w:rsidRPr="00131E5C">
        <w:rPr>
          <w:rFonts w:ascii="Arial" w:eastAsia="Times New Roman" w:hAnsi="Arial" w:cs="Arial"/>
          <w:color w:val="000000"/>
          <w:sz w:val="24"/>
          <w:szCs w:val="24"/>
        </w:rPr>
        <w:t>NoDerivatives</w:t>
      </w:r>
      <w:proofErr w:type="spellEnd"/>
      <w:r w:rsidRPr="00131E5C">
        <w:rPr>
          <w:rFonts w:ascii="Arial" w:eastAsia="Times New Roman" w:hAnsi="Arial" w:cs="Arial"/>
          <w:color w:val="000000"/>
          <w:sz w:val="24"/>
          <w:szCs w:val="24"/>
        </w:rPr>
        <w:t xml:space="preserve"> License (http://creativecommons.org/licenses/by-nc-nd/4.0/), which permits non-commercial re-use, distribution, and reproduction in any medium, provided the original work is properly cited, and is not altered, transformed, or built upon in any way.</w:t>
      </w:r>
    </w:p>
    <w:p w14:paraId="49263AFF" w14:textId="77777777" w:rsidR="00204287" w:rsidRDefault="00204287" w:rsidP="001627EE">
      <w:pPr>
        <w:jc w:val="both"/>
        <w:rPr>
          <w:rFonts w:cstheme="minorHAnsi"/>
          <w:b/>
          <w:bCs/>
          <w:sz w:val="24"/>
          <w:szCs w:val="24"/>
          <w:lang w:val="en-US"/>
        </w:rPr>
      </w:pPr>
    </w:p>
    <w:p w14:paraId="7DEA3F1C" w14:textId="77777777" w:rsidR="00204287" w:rsidRDefault="00204287">
      <w:pPr>
        <w:rPr>
          <w:rFonts w:cstheme="minorHAnsi"/>
          <w:b/>
          <w:bCs/>
          <w:sz w:val="24"/>
          <w:szCs w:val="24"/>
          <w:lang w:val="en-US"/>
        </w:rPr>
      </w:pPr>
      <w:r>
        <w:rPr>
          <w:rFonts w:cstheme="minorHAnsi"/>
          <w:b/>
          <w:bCs/>
          <w:sz w:val="24"/>
          <w:szCs w:val="24"/>
          <w:lang w:val="en-US"/>
        </w:rPr>
        <w:br w:type="page"/>
      </w:r>
    </w:p>
    <w:p w14:paraId="1FD89331" w14:textId="5AB21C08" w:rsidR="001703F7" w:rsidRDefault="001703F7" w:rsidP="001627EE">
      <w:pPr>
        <w:jc w:val="both"/>
        <w:rPr>
          <w:rFonts w:cstheme="minorHAnsi"/>
          <w:b/>
          <w:bCs/>
          <w:sz w:val="24"/>
          <w:szCs w:val="24"/>
          <w:lang w:val="en-US"/>
        </w:rPr>
      </w:pPr>
      <w:r w:rsidRPr="001627EE">
        <w:rPr>
          <w:rFonts w:cstheme="minorHAnsi"/>
          <w:b/>
          <w:bCs/>
          <w:sz w:val="24"/>
          <w:szCs w:val="24"/>
          <w:lang w:val="en-US"/>
        </w:rPr>
        <w:lastRenderedPageBreak/>
        <w:t xml:space="preserve">CHAPTER X Fashion and Design Law </w:t>
      </w:r>
    </w:p>
    <w:p w14:paraId="7D69C435" w14:textId="1B6BC1B3" w:rsidR="00FB717A" w:rsidRDefault="00FB717A" w:rsidP="00FB717A">
      <w:pPr>
        <w:pStyle w:val="ListParagraph"/>
        <w:numPr>
          <w:ilvl w:val="0"/>
          <w:numId w:val="1"/>
        </w:numPr>
        <w:rPr>
          <w:lang w:val="en-US"/>
        </w:rPr>
      </w:pPr>
      <w:r>
        <w:rPr>
          <w:lang w:val="en-US"/>
        </w:rPr>
        <w:t xml:space="preserve">A GLOBAL PERSPECTIVE ON THE PROTECTION OF FASHION BY DESIGN LAW </w:t>
      </w:r>
    </w:p>
    <w:p w14:paraId="5824C0E7" w14:textId="5A88B6D9" w:rsidR="00FB717A" w:rsidRPr="00FB717A" w:rsidRDefault="00FB717A" w:rsidP="00FB717A">
      <w:pPr>
        <w:pStyle w:val="ListParagraph"/>
        <w:numPr>
          <w:ilvl w:val="0"/>
          <w:numId w:val="1"/>
        </w:numPr>
        <w:rPr>
          <w:lang w:val="en-US"/>
        </w:rPr>
      </w:pPr>
      <w:r>
        <w:rPr>
          <w:lang w:val="en-US"/>
        </w:rPr>
        <w:t>THE PROTECTION OF FASHION BY EU DESIGN LAW</w:t>
      </w:r>
    </w:p>
    <w:p w14:paraId="15094DDD" w14:textId="1CC48FCE" w:rsidR="00FB717A" w:rsidRPr="00D16B8D" w:rsidRDefault="00FB717A" w:rsidP="00FB717A">
      <w:pPr>
        <w:pStyle w:val="ListParagraph"/>
        <w:numPr>
          <w:ilvl w:val="0"/>
          <w:numId w:val="2"/>
        </w:numPr>
        <w:rPr>
          <w:lang w:val="en-US"/>
        </w:rPr>
      </w:pPr>
      <w:r w:rsidRPr="00D16B8D">
        <w:rPr>
          <w:lang w:val="en-US"/>
        </w:rPr>
        <w:t>Fashion and the concept of Design</w:t>
      </w:r>
    </w:p>
    <w:p w14:paraId="20FCD900" w14:textId="1F783BA5" w:rsidR="00FB717A" w:rsidRDefault="00FB717A" w:rsidP="00FB717A">
      <w:pPr>
        <w:pStyle w:val="ListParagraph"/>
        <w:numPr>
          <w:ilvl w:val="0"/>
          <w:numId w:val="2"/>
        </w:numPr>
        <w:rPr>
          <w:lang w:val="en-US"/>
        </w:rPr>
      </w:pPr>
      <w:r>
        <w:rPr>
          <w:lang w:val="en-US"/>
        </w:rPr>
        <w:t>Unregistered Community Designs</w:t>
      </w:r>
    </w:p>
    <w:p w14:paraId="1F1D93F1" w14:textId="4D7221C7" w:rsidR="00FB717A" w:rsidRDefault="00FB717A" w:rsidP="00FB717A">
      <w:pPr>
        <w:pStyle w:val="ListParagraph"/>
        <w:numPr>
          <w:ilvl w:val="0"/>
          <w:numId w:val="2"/>
        </w:numPr>
        <w:rPr>
          <w:lang w:val="en-US"/>
        </w:rPr>
      </w:pPr>
      <w:r>
        <w:rPr>
          <w:lang w:val="en-US"/>
        </w:rPr>
        <w:t xml:space="preserve">Community and National Registered Design </w:t>
      </w:r>
    </w:p>
    <w:p w14:paraId="4CC14E34" w14:textId="77777777" w:rsidR="00FB717A" w:rsidRDefault="00FB717A" w:rsidP="00FB717A">
      <w:pPr>
        <w:pStyle w:val="ListParagraph"/>
        <w:ind w:left="1080"/>
        <w:rPr>
          <w:lang w:val="en-US"/>
        </w:rPr>
      </w:pPr>
      <w:r>
        <w:rPr>
          <w:lang w:val="en-US"/>
        </w:rPr>
        <w:t xml:space="preserve">a) The requirements on novelty and individual character </w:t>
      </w:r>
    </w:p>
    <w:p w14:paraId="2EE20FF0" w14:textId="77777777" w:rsidR="00FB717A" w:rsidRDefault="00FB717A" w:rsidP="00FB717A">
      <w:pPr>
        <w:pStyle w:val="ListParagraph"/>
        <w:ind w:left="1080"/>
        <w:rPr>
          <w:lang w:val="en-US"/>
        </w:rPr>
      </w:pPr>
      <w:r>
        <w:rPr>
          <w:lang w:val="en-US"/>
        </w:rPr>
        <w:t>b) Grounds for refusal</w:t>
      </w:r>
    </w:p>
    <w:p w14:paraId="318A2502" w14:textId="31EEBE46" w:rsidR="00FB717A" w:rsidRPr="007C2963" w:rsidRDefault="00FB717A" w:rsidP="00FB717A">
      <w:pPr>
        <w:pStyle w:val="ListParagraph"/>
        <w:numPr>
          <w:ilvl w:val="0"/>
          <w:numId w:val="2"/>
        </w:numPr>
        <w:rPr>
          <w:lang w:val="en-US"/>
        </w:rPr>
      </w:pPr>
      <w:r w:rsidRPr="007C2963">
        <w:rPr>
          <w:lang w:val="en-US"/>
        </w:rPr>
        <w:t xml:space="preserve">Ownership of Design in the Fashion Industry </w:t>
      </w:r>
    </w:p>
    <w:p w14:paraId="1BBA87C2" w14:textId="746EF497" w:rsidR="00FB717A" w:rsidRPr="007A1B72" w:rsidRDefault="00FB717A" w:rsidP="00FB717A">
      <w:pPr>
        <w:pStyle w:val="ListParagraph"/>
        <w:numPr>
          <w:ilvl w:val="0"/>
          <w:numId w:val="2"/>
        </w:numPr>
        <w:rPr>
          <w:lang w:val="en-US"/>
        </w:rPr>
      </w:pPr>
      <w:r w:rsidRPr="007A1B72">
        <w:rPr>
          <w:lang w:val="en-US"/>
        </w:rPr>
        <w:t xml:space="preserve">Infringement in the Fashion Industry </w:t>
      </w:r>
    </w:p>
    <w:p w14:paraId="5898D486" w14:textId="77777777" w:rsidR="00FB717A" w:rsidRPr="006F0B35" w:rsidRDefault="00FB717A" w:rsidP="00FB717A">
      <w:pPr>
        <w:pStyle w:val="ListParagraph"/>
        <w:numPr>
          <w:ilvl w:val="0"/>
          <w:numId w:val="1"/>
        </w:numPr>
        <w:rPr>
          <w:lang w:val="en-US"/>
        </w:rPr>
      </w:pPr>
      <w:r>
        <w:rPr>
          <w:lang w:val="en-US"/>
        </w:rPr>
        <w:t>CONTEMPORARY ISSUES IN THE FASHION INDUSTRY</w:t>
      </w:r>
    </w:p>
    <w:p w14:paraId="7A1E0745" w14:textId="4A51F74E" w:rsidR="00FB717A" w:rsidRDefault="00FB717A" w:rsidP="00FB717A">
      <w:pPr>
        <w:pStyle w:val="ListParagraph"/>
        <w:rPr>
          <w:lang w:val="en-US"/>
        </w:rPr>
      </w:pPr>
      <w:r>
        <w:rPr>
          <w:lang w:val="en-US"/>
        </w:rPr>
        <w:t xml:space="preserve">1. Artificial Intelligence, Fashion and Design Law </w:t>
      </w:r>
    </w:p>
    <w:p w14:paraId="6D09E62A" w14:textId="73832AC0" w:rsidR="00FB717A" w:rsidRDefault="00FB717A" w:rsidP="00FB717A">
      <w:pPr>
        <w:pStyle w:val="ListParagraph"/>
        <w:rPr>
          <w:lang w:val="en-US"/>
        </w:rPr>
      </w:pPr>
      <w:r>
        <w:rPr>
          <w:lang w:val="en-US"/>
        </w:rPr>
        <w:t xml:space="preserve">2. 3D Printing in Fashion and Design Law </w:t>
      </w:r>
    </w:p>
    <w:p w14:paraId="2FCFBC17" w14:textId="00064E48" w:rsidR="00FB717A" w:rsidRDefault="00FB717A" w:rsidP="00FB717A">
      <w:pPr>
        <w:pStyle w:val="ListParagraph"/>
        <w:rPr>
          <w:lang w:val="en-US"/>
        </w:rPr>
      </w:pPr>
      <w:r>
        <w:rPr>
          <w:lang w:val="en-US"/>
        </w:rPr>
        <w:t>3. Fashion and Traditional Knowledge</w:t>
      </w:r>
      <w:r w:rsidR="00F37031">
        <w:rPr>
          <w:lang w:val="en-US"/>
        </w:rPr>
        <w:t>\</w:t>
      </w:r>
      <w:r>
        <w:rPr>
          <w:lang w:val="en-US"/>
        </w:rPr>
        <w:t xml:space="preserve"> </w:t>
      </w:r>
    </w:p>
    <w:p w14:paraId="4F6F884F" w14:textId="2DBED984" w:rsidR="00FB717A" w:rsidRDefault="00FB717A" w:rsidP="00FB717A">
      <w:pPr>
        <w:pStyle w:val="ListParagraph"/>
        <w:rPr>
          <w:lang w:val="en-US"/>
        </w:rPr>
      </w:pPr>
      <w:r>
        <w:rPr>
          <w:lang w:val="en-US"/>
        </w:rPr>
        <w:t xml:space="preserve">4. Fashion, Design Law, and Circular Economy </w:t>
      </w:r>
    </w:p>
    <w:p w14:paraId="04CD2342" w14:textId="5D64643E" w:rsidR="00FB717A" w:rsidRPr="001D1D0B" w:rsidRDefault="00FB717A" w:rsidP="00FB717A">
      <w:pPr>
        <w:pStyle w:val="ListParagraph"/>
        <w:rPr>
          <w:highlight w:val="yellow"/>
          <w:lang w:val="en-US"/>
        </w:rPr>
      </w:pPr>
      <w:r>
        <w:rPr>
          <w:lang w:val="en-US"/>
        </w:rPr>
        <w:t>5</w:t>
      </w:r>
      <w:r w:rsidRPr="001D1D0B">
        <w:rPr>
          <w:highlight w:val="yellow"/>
          <w:lang w:val="en-US"/>
        </w:rPr>
        <w:t xml:space="preserve">. Overlapping IP Protections for Fashion in EU Law </w:t>
      </w:r>
    </w:p>
    <w:p w14:paraId="4013E3CF" w14:textId="4963498F" w:rsidR="00FB717A" w:rsidRDefault="00FB717A" w:rsidP="00D43C4A">
      <w:pPr>
        <w:pStyle w:val="ListParagraph"/>
        <w:rPr>
          <w:lang w:val="en-US"/>
        </w:rPr>
      </w:pPr>
    </w:p>
    <w:p w14:paraId="460017C3" w14:textId="77777777" w:rsidR="00FB717A" w:rsidRPr="001627EE" w:rsidRDefault="00FB717A" w:rsidP="001627EE">
      <w:pPr>
        <w:jc w:val="both"/>
        <w:rPr>
          <w:rFonts w:cstheme="minorHAnsi"/>
          <w:b/>
          <w:bCs/>
          <w:sz w:val="24"/>
          <w:szCs w:val="24"/>
          <w:lang w:val="en-US"/>
        </w:rPr>
      </w:pPr>
    </w:p>
    <w:p w14:paraId="52936FBA" w14:textId="6A91ADCE" w:rsidR="001703F7" w:rsidRPr="00474FAB" w:rsidRDefault="001703F7" w:rsidP="003B682F">
      <w:pPr>
        <w:jc w:val="both"/>
        <w:rPr>
          <w:rFonts w:cstheme="minorHAnsi"/>
          <w:sz w:val="24"/>
          <w:szCs w:val="24"/>
          <w:lang w:val="en-US"/>
        </w:rPr>
      </w:pPr>
      <w:r w:rsidRPr="00474FAB">
        <w:rPr>
          <w:rFonts w:cstheme="minorHAnsi"/>
          <w:sz w:val="24"/>
          <w:szCs w:val="24"/>
          <w:lang w:val="en-US"/>
        </w:rPr>
        <w:t>A</w:t>
      </w:r>
      <w:r w:rsidR="003B682F" w:rsidRPr="00474FAB">
        <w:rPr>
          <w:rFonts w:cstheme="minorHAnsi"/>
          <w:sz w:val="24"/>
          <w:szCs w:val="24"/>
          <w:lang w:val="en-US"/>
        </w:rPr>
        <w:t>.</w:t>
      </w:r>
      <w:r w:rsidRPr="00474FAB">
        <w:rPr>
          <w:rFonts w:cstheme="minorHAnsi"/>
          <w:sz w:val="24"/>
          <w:szCs w:val="24"/>
          <w:lang w:val="en-US"/>
        </w:rPr>
        <w:t xml:space="preserve"> GLOBAL PERSPECTIVE ON THE PROTECTION OF FASHION BY DESIGN LAW </w:t>
      </w:r>
    </w:p>
    <w:p w14:paraId="7D3223DC" w14:textId="77777777" w:rsidR="001703F7" w:rsidRPr="00474FAB" w:rsidRDefault="001703F7" w:rsidP="003B682F">
      <w:pPr>
        <w:pStyle w:val="ListParagraph"/>
        <w:ind w:left="1080"/>
        <w:jc w:val="both"/>
        <w:rPr>
          <w:rFonts w:cstheme="minorHAnsi"/>
          <w:sz w:val="24"/>
          <w:szCs w:val="24"/>
          <w:lang w:val="en-US"/>
        </w:rPr>
      </w:pPr>
      <w:r w:rsidRPr="00474FAB">
        <w:rPr>
          <w:rFonts w:cstheme="minorHAnsi"/>
          <w:sz w:val="24"/>
          <w:szCs w:val="24"/>
          <w:lang w:val="en-US"/>
        </w:rPr>
        <w:t>Introduction</w:t>
      </w:r>
    </w:p>
    <w:p w14:paraId="4C7BF48D" w14:textId="77777777" w:rsidR="000A59C1" w:rsidRPr="00474FAB" w:rsidRDefault="000A59C1" w:rsidP="000A59C1">
      <w:pPr>
        <w:pStyle w:val="paragraph"/>
        <w:spacing w:after="0"/>
        <w:textAlignment w:val="baseline"/>
        <w:rPr>
          <w:rFonts w:asciiTheme="minorHAnsi" w:hAnsiTheme="minorHAnsi" w:cstheme="minorHAnsi"/>
          <w:bCs/>
          <w:lang w:val="en-GB"/>
        </w:rPr>
      </w:pPr>
      <w:r w:rsidRPr="00474FAB">
        <w:rPr>
          <w:rFonts w:asciiTheme="minorHAnsi" w:hAnsiTheme="minorHAnsi" w:cstheme="minorHAnsi"/>
          <w:bCs/>
          <w:lang w:val="en-GB"/>
        </w:rPr>
        <w:t>The fashion industry plays a central role in society and history and accounts for 2 percent of the world’s Gross Domestic Product (GDP) today. The global apparel market is valued at 3 trillion US dollars.</w:t>
      </w:r>
      <w:r w:rsidRPr="00474FAB">
        <w:rPr>
          <w:rFonts w:asciiTheme="minorHAnsi" w:hAnsiTheme="minorHAnsi" w:cstheme="minorHAnsi"/>
          <w:bCs/>
          <w:vertAlign w:val="superscript"/>
          <w:lang w:val="en-GB"/>
        </w:rPr>
        <w:footnoteReference w:id="1"/>
      </w:r>
      <w:r w:rsidRPr="00474FAB">
        <w:rPr>
          <w:rFonts w:asciiTheme="minorHAnsi" w:hAnsiTheme="minorHAnsi" w:cstheme="minorHAnsi"/>
          <w:bCs/>
          <w:lang w:val="en-GB"/>
        </w:rPr>
        <w:t xml:space="preserve"> Fashion is highly important for the European Economy. Over 5 million people are employed in the fashion industry value chain, and over 1 million in the high-end industries.</w:t>
      </w:r>
      <w:r w:rsidRPr="00474FAB">
        <w:rPr>
          <w:rFonts w:asciiTheme="minorHAnsi" w:hAnsiTheme="minorHAnsi" w:cstheme="minorHAnsi"/>
          <w:bCs/>
          <w:vertAlign w:val="superscript"/>
          <w:lang w:val="en-GB"/>
        </w:rPr>
        <w:t xml:space="preserve"> </w:t>
      </w:r>
      <w:r w:rsidRPr="00474FAB">
        <w:rPr>
          <w:rFonts w:asciiTheme="minorHAnsi" w:hAnsiTheme="minorHAnsi" w:cstheme="minorHAnsi"/>
          <w:bCs/>
          <w:vertAlign w:val="superscript"/>
          <w:lang w:val="en-GB"/>
        </w:rPr>
        <w:footnoteReference w:id="2"/>
      </w:r>
      <w:r w:rsidRPr="00474FAB">
        <w:rPr>
          <w:rFonts w:asciiTheme="minorHAnsi" w:hAnsiTheme="minorHAnsi" w:cstheme="minorHAnsi"/>
          <w:bCs/>
          <w:lang w:val="en-GB"/>
        </w:rPr>
        <w:t xml:space="preserve"> Protection for fashion is essential for the industry, and the EU has legislated to ensure protection. Creativity is the driving force of fashion. The creator wants to influence and inspire – be a trendsetter, but not be copied; sometimes described as the Paradox of Fashion.</w:t>
      </w:r>
      <w:r w:rsidRPr="00474FAB">
        <w:rPr>
          <w:rFonts w:asciiTheme="minorHAnsi" w:hAnsiTheme="minorHAnsi" w:cstheme="minorHAnsi"/>
          <w:bCs/>
          <w:vertAlign w:val="superscript"/>
          <w:lang w:val="en-GB"/>
        </w:rPr>
        <w:t xml:space="preserve"> </w:t>
      </w:r>
      <w:r w:rsidRPr="00474FAB">
        <w:rPr>
          <w:rFonts w:asciiTheme="minorHAnsi" w:hAnsiTheme="minorHAnsi" w:cstheme="minorHAnsi"/>
          <w:bCs/>
          <w:vertAlign w:val="superscript"/>
          <w:lang w:val="en-GB"/>
        </w:rPr>
        <w:footnoteReference w:id="3"/>
      </w:r>
      <w:r w:rsidRPr="00474FAB">
        <w:rPr>
          <w:rFonts w:asciiTheme="minorHAnsi" w:hAnsiTheme="minorHAnsi" w:cstheme="minorHAnsi"/>
          <w:bCs/>
          <w:lang w:val="en-GB"/>
        </w:rPr>
        <w:t xml:space="preserve"> There is also complexity in fashion, as it can be culture, craftsmanship, and cultural heritage. </w:t>
      </w:r>
    </w:p>
    <w:p w14:paraId="4A61A3EF" w14:textId="7ED756B0" w:rsidR="000A59C1" w:rsidRPr="00474FAB" w:rsidRDefault="000A59C1" w:rsidP="000A59C1">
      <w:pPr>
        <w:pStyle w:val="paragraph"/>
        <w:spacing w:before="0" w:beforeAutospacing="0" w:after="0" w:afterAutospacing="0"/>
        <w:textAlignment w:val="baseline"/>
        <w:rPr>
          <w:rFonts w:asciiTheme="minorHAnsi" w:hAnsiTheme="minorHAnsi" w:cstheme="minorHAnsi"/>
          <w:lang w:val="en-US"/>
        </w:rPr>
      </w:pPr>
      <w:r w:rsidRPr="00474FAB">
        <w:rPr>
          <w:rFonts w:asciiTheme="minorHAnsi" w:hAnsiTheme="minorHAnsi" w:cstheme="minorHAnsi"/>
          <w:lang w:val="en-US"/>
        </w:rPr>
        <w:t xml:space="preserve">The global nature of manufacturing and trade in fashion contrasts </w:t>
      </w:r>
      <w:r w:rsidR="00CD075F">
        <w:rPr>
          <w:rFonts w:asciiTheme="minorHAnsi" w:hAnsiTheme="minorHAnsi" w:cstheme="minorHAnsi"/>
          <w:lang w:val="en-US"/>
        </w:rPr>
        <w:t>with</w:t>
      </w:r>
      <w:r w:rsidRPr="00474FAB">
        <w:rPr>
          <w:rFonts w:asciiTheme="minorHAnsi" w:hAnsiTheme="minorHAnsi" w:cstheme="minorHAnsi"/>
          <w:lang w:val="en-US"/>
        </w:rPr>
        <w:t xml:space="preserve"> legal rules </w:t>
      </w:r>
      <w:r w:rsidR="00CD075F">
        <w:rPr>
          <w:rFonts w:asciiTheme="minorHAnsi" w:hAnsiTheme="minorHAnsi" w:cstheme="minorHAnsi"/>
          <w:lang w:val="en-US"/>
        </w:rPr>
        <w:t xml:space="preserve">that </w:t>
      </w:r>
      <w:r w:rsidRPr="00474FAB">
        <w:rPr>
          <w:rFonts w:asciiTheme="minorHAnsi" w:hAnsiTheme="minorHAnsi" w:cstheme="minorHAnsi"/>
          <w:lang w:val="en-US"/>
        </w:rPr>
        <w:t xml:space="preserve">are national or regional and territorial. </w:t>
      </w:r>
    </w:p>
    <w:p w14:paraId="1EDAD215" w14:textId="77777777" w:rsidR="000A59C1" w:rsidRPr="00474FAB" w:rsidRDefault="000A59C1" w:rsidP="000A59C1">
      <w:pPr>
        <w:pStyle w:val="paragraph"/>
        <w:spacing w:before="0" w:beforeAutospacing="0" w:after="0" w:afterAutospacing="0"/>
        <w:textAlignment w:val="baseline"/>
        <w:rPr>
          <w:rFonts w:asciiTheme="minorHAnsi" w:hAnsiTheme="minorHAnsi" w:cstheme="minorHAnsi"/>
          <w:lang w:val="en-US"/>
        </w:rPr>
      </w:pPr>
    </w:p>
    <w:p w14:paraId="3EEA3418" w14:textId="7D4BC059" w:rsidR="000A59C1" w:rsidRPr="00474FAB" w:rsidRDefault="000A59C1" w:rsidP="00190BF5">
      <w:pPr>
        <w:pStyle w:val="paragraph"/>
        <w:spacing w:before="0" w:beforeAutospacing="0" w:after="0" w:afterAutospacing="0"/>
        <w:textAlignment w:val="baseline"/>
        <w:rPr>
          <w:rFonts w:asciiTheme="minorHAnsi" w:hAnsiTheme="minorHAnsi" w:cstheme="minorHAnsi"/>
          <w:lang w:val="en-US"/>
        </w:rPr>
      </w:pPr>
      <w:r w:rsidRPr="00474FAB">
        <w:rPr>
          <w:rFonts w:asciiTheme="minorHAnsi" w:hAnsiTheme="minorHAnsi" w:cstheme="minorHAnsi"/>
          <w:lang w:val="en-US"/>
        </w:rPr>
        <w:t xml:space="preserve">The Paris Convention for the Protection of Industrial </w:t>
      </w:r>
      <w:commentRangeStart w:id="0"/>
      <w:r w:rsidRPr="00474FAB">
        <w:rPr>
          <w:rFonts w:asciiTheme="minorHAnsi" w:hAnsiTheme="minorHAnsi" w:cstheme="minorHAnsi"/>
          <w:lang w:val="en-US"/>
        </w:rPr>
        <w:t>Property</w:t>
      </w:r>
      <w:commentRangeEnd w:id="0"/>
      <w:r w:rsidR="00CD075F">
        <w:rPr>
          <w:rStyle w:val="CommentReference"/>
          <w:rFonts w:asciiTheme="minorHAnsi" w:eastAsiaTheme="minorHAnsi" w:hAnsiTheme="minorHAnsi" w:cstheme="minorBidi"/>
          <w:lang w:val="en-GB" w:eastAsia="en-US"/>
        </w:rPr>
        <w:commentReference w:id="0"/>
      </w:r>
      <w:r w:rsidRPr="00474FAB">
        <w:rPr>
          <w:rFonts w:asciiTheme="minorHAnsi" w:hAnsiTheme="minorHAnsi" w:cstheme="minorHAnsi"/>
          <w:lang w:val="en-US"/>
        </w:rPr>
        <w:t xml:space="preserve"> was adopted 1883, with the aim to </w:t>
      </w:r>
      <w:proofErr w:type="spellStart"/>
      <w:r w:rsidRPr="00474FAB">
        <w:rPr>
          <w:rFonts w:asciiTheme="minorHAnsi" w:hAnsiTheme="minorHAnsi" w:cstheme="minorHAnsi"/>
          <w:lang w:val="en-US"/>
        </w:rPr>
        <w:t>harmonise</w:t>
      </w:r>
      <w:proofErr w:type="spellEnd"/>
      <w:r w:rsidRPr="00474FAB">
        <w:rPr>
          <w:rFonts w:asciiTheme="minorHAnsi" w:hAnsiTheme="minorHAnsi" w:cstheme="minorHAnsi"/>
          <w:lang w:val="en-US"/>
        </w:rPr>
        <w:t xml:space="preserve"> intellectual property protection worldwide. The Convention, administered by WIPO, is structured around a few key principles, one of which is the principle of national </w:t>
      </w:r>
      <w:r w:rsidRPr="00474FAB">
        <w:rPr>
          <w:rFonts w:asciiTheme="minorHAnsi" w:hAnsiTheme="minorHAnsi" w:cstheme="minorHAnsi"/>
          <w:lang w:val="en-US"/>
        </w:rPr>
        <w:lastRenderedPageBreak/>
        <w:t xml:space="preserve">treatment, and another is the principle of minimum protection (see Chapter XXX). Regarding design protection, the Paris Convention contains only a few articles. Article 5 </w:t>
      </w:r>
      <w:proofErr w:type="spellStart"/>
      <w:r w:rsidRPr="00474FAB">
        <w:rPr>
          <w:rFonts w:asciiTheme="minorHAnsi" w:hAnsiTheme="minorHAnsi" w:cstheme="minorHAnsi"/>
          <w:lang w:val="en-US"/>
        </w:rPr>
        <w:t>quinquies</w:t>
      </w:r>
      <w:proofErr w:type="spellEnd"/>
      <w:r w:rsidRPr="00474FAB">
        <w:rPr>
          <w:rFonts w:asciiTheme="minorHAnsi" w:hAnsiTheme="minorHAnsi" w:cstheme="minorHAnsi"/>
          <w:lang w:val="en-US"/>
        </w:rPr>
        <w:t xml:space="preserve"> states that "industrial designs" shall be protected in all the countries of the Union, but the Convention does not impose any requirements as to the form of such protection. There is also no definition of design. The Paris Convention also contains an article on priority of designs. The rules on priority are found in Article 4.C and state that the priority right is six months for industrial</w:t>
      </w:r>
      <w:r w:rsidR="00CD075F">
        <w:rPr>
          <w:rFonts w:asciiTheme="minorHAnsi" w:hAnsiTheme="minorHAnsi" w:cstheme="minorHAnsi"/>
          <w:lang w:val="en-US"/>
        </w:rPr>
        <w:t xml:space="preserve"> design</w:t>
      </w:r>
      <w:r w:rsidRPr="00474FAB">
        <w:rPr>
          <w:rFonts w:asciiTheme="minorHAnsi" w:hAnsiTheme="minorHAnsi" w:cstheme="minorHAnsi"/>
          <w:lang w:val="en-US"/>
        </w:rPr>
        <w:t xml:space="preserve"> from the first application.</w:t>
      </w:r>
    </w:p>
    <w:p w14:paraId="10077887" w14:textId="77777777" w:rsidR="00190BF5" w:rsidRPr="00474FAB" w:rsidRDefault="00190BF5" w:rsidP="00190BF5">
      <w:pPr>
        <w:pStyle w:val="paragraph"/>
        <w:spacing w:before="0" w:beforeAutospacing="0" w:after="0" w:afterAutospacing="0"/>
        <w:textAlignment w:val="baseline"/>
        <w:rPr>
          <w:rFonts w:asciiTheme="minorHAnsi" w:hAnsiTheme="minorHAnsi" w:cstheme="minorHAnsi"/>
          <w:lang w:val="en-US"/>
        </w:rPr>
      </w:pPr>
    </w:p>
    <w:p w14:paraId="7962F3BC" w14:textId="3AAAF5A7" w:rsidR="000A59C1" w:rsidRPr="00474FAB" w:rsidRDefault="000A59C1" w:rsidP="000A59C1">
      <w:pPr>
        <w:rPr>
          <w:rFonts w:cstheme="minorHAnsi"/>
          <w:sz w:val="24"/>
          <w:szCs w:val="24"/>
          <w:lang w:val="en-US"/>
        </w:rPr>
      </w:pPr>
      <w:r w:rsidRPr="00474FAB">
        <w:rPr>
          <w:rFonts w:cstheme="minorHAnsi"/>
          <w:sz w:val="24"/>
          <w:szCs w:val="24"/>
          <w:lang w:val="en-US"/>
        </w:rPr>
        <w:t xml:space="preserve">The Agreement on Trade-Related Aspects of Intellectual Property Rights (TRIPS) contains a few provisions on design protection. Article 25 provides for the protection of independently created designs that are “new or original”. Member states can </w:t>
      </w:r>
      <w:r w:rsidR="00CD075F">
        <w:rPr>
          <w:rFonts w:cstheme="minorHAnsi"/>
          <w:sz w:val="24"/>
          <w:szCs w:val="24"/>
          <w:lang w:val="en-US"/>
        </w:rPr>
        <w:t>provide</w:t>
      </w:r>
      <w:r w:rsidR="00CD075F" w:rsidRPr="00474FAB">
        <w:rPr>
          <w:rFonts w:cstheme="minorHAnsi"/>
          <w:sz w:val="24"/>
          <w:szCs w:val="24"/>
          <w:lang w:val="en-US"/>
        </w:rPr>
        <w:t xml:space="preserve"> </w:t>
      </w:r>
      <w:r w:rsidRPr="00474FAB">
        <w:rPr>
          <w:rFonts w:cstheme="minorHAnsi"/>
          <w:sz w:val="24"/>
          <w:szCs w:val="24"/>
          <w:lang w:val="en-US"/>
        </w:rPr>
        <w:t>that designs are not new or original if the design</w:t>
      </w:r>
      <w:r w:rsidR="00CD075F">
        <w:rPr>
          <w:rFonts w:cstheme="minorHAnsi"/>
          <w:sz w:val="24"/>
          <w:szCs w:val="24"/>
          <w:lang w:val="en-US"/>
        </w:rPr>
        <w:t>s</w:t>
      </w:r>
      <w:r w:rsidRPr="00474FAB">
        <w:rPr>
          <w:rFonts w:cstheme="minorHAnsi"/>
          <w:sz w:val="24"/>
          <w:szCs w:val="24"/>
          <w:lang w:val="en-US"/>
        </w:rPr>
        <w:t xml:space="preserve"> do not significantly differ from previous designs or combination of previous designs. Article 25 reflects the fact that countries protect design differently. Some countries give a copyright-like design protection and other countries use a patent-like system.</w:t>
      </w:r>
      <w:r w:rsidRPr="00474FAB">
        <w:rPr>
          <w:rStyle w:val="FootnoteReference"/>
          <w:rFonts w:cstheme="minorHAnsi"/>
          <w:sz w:val="24"/>
          <w:szCs w:val="24"/>
          <w:lang w:val="en-US"/>
        </w:rPr>
        <w:footnoteReference w:id="4"/>
      </w:r>
      <w:r w:rsidRPr="00474FAB">
        <w:rPr>
          <w:rFonts w:cstheme="minorHAnsi"/>
          <w:sz w:val="24"/>
          <w:szCs w:val="24"/>
          <w:lang w:val="en-US"/>
        </w:rPr>
        <w:t xml:space="preserve"> However, EU has rejected both and follows instead a </w:t>
      </w:r>
      <w:r w:rsidR="00CD075F">
        <w:rPr>
          <w:rFonts w:cstheme="minorHAnsi"/>
          <w:sz w:val="24"/>
          <w:szCs w:val="24"/>
          <w:lang w:val="en-US"/>
        </w:rPr>
        <w:t>“d</w:t>
      </w:r>
      <w:r w:rsidRPr="00474FAB">
        <w:rPr>
          <w:rFonts w:cstheme="minorHAnsi"/>
          <w:sz w:val="24"/>
          <w:szCs w:val="24"/>
          <w:lang w:val="en-US"/>
        </w:rPr>
        <w:t>esign approach</w:t>
      </w:r>
      <w:r w:rsidR="00CD075F">
        <w:rPr>
          <w:rFonts w:cstheme="minorHAnsi"/>
          <w:sz w:val="24"/>
          <w:szCs w:val="24"/>
          <w:lang w:val="en-US"/>
        </w:rPr>
        <w:t>”</w:t>
      </w:r>
      <w:r w:rsidRPr="00474FAB">
        <w:rPr>
          <w:rFonts w:cstheme="minorHAnsi"/>
          <w:sz w:val="24"/>
          <w:szCs w:val="24"/>
          <w:lang w:val="en-US"/>
        </w:rPr>
        <w:t>.</w:t>
      </w:r>
      <w:r w:rsidRPr="00474FAB">
        <w:rPr>
          <w:rStyle w:val="FootnoteReference"/>
          <w:rFonts w:cstheme="minorHAnsi"/>
          <w:sz w:val="24"/>
          <w:szCs w:val="24"/>
          <w:lang w:val="en-US"/>
        </w:rPr>
        <w:footnoteReference w:id="5"/>
      </w:r>
      <w:r w:rsidRPr="00474FAB">
        <w:rPr>
          <w:rFonts w:cstheme="minorHAnsi"/>
          <w:sz w:val="24"/>
          <w:szCs w:val="24"/>
          <w:lang w:val="en-US"/>
        </w:rPr>
        <w:t xml:space="preserve"> Member states can also decide if the protection should extend to designs dictated essentially by technical or functional considerations. When it comes to textile design article 25.2 states that member states shall ensure that requirements for securing protection do not unreasonable impair the opportunity to seek and obtain protection, especially when it comes to cost, examination and publication. Article 26 sets out the scope of protection and states that “the owner of a protected design shall have the right to prevent third parties not having the owner´s consent from making, selling and importing articles bearing or embodying a design which is a copy, or substantially a copy, of the protected design, when such acts are undertaken for commercial purposes”. The same article also states that limited exceptions to design protection are permitted under the three-step test. The duration of design protection shall exceed to at least 10 years.</w:t>
      </w:r>
    </w:p>
    <w:p w14:paraId="3B0311DF" w14:textId="25B2D488" w:rsidR="000A59C1" w:rsidRPr="00474FAB" w:rsidRDefault="000A59C1" w:rsidP="000A59C1">
      <w:pPr>
        <w:rPr>
          <w:rFonts w:cstheme="minorHAnsi"/>
          <w:sz w:val="24"/>
          <w:szCs w:val="24"/>
          <w:lang w:val="en-US"/>
        </w:rPr>
      </w:pPr>
      <w:r w:rsidRPr="00474FAB">
        <w:rPr>
          <w:rFonts w:cstheme="minorHAnsi"/>
          <w:sz w:val="24"/>
          <w:szCs w:val="24"/>
          <w:lang w:val="en-US"/>
        </w:rPr>
        <w:t xml:space="preserve">In 1925, an agreement on the international registration of designs was concluded in The Hague. </w:t>
      </w:r>
      <w:r w:rsidR="00CD075F">
        <w:rPr>
          <w:rFonts w:cstheme="minorHAnsi"/>
          <w:sz w:val="24"/>
          <w:szCs w:val="24"/>
          <w:lang w:val="en-US"/>
        </w:rPr>
        <w:t>It</w:t>
      </w:r>
      <w:r w:rsidR="00CD075F" w:rsidRPr="00474FAB">
        <w:rPr>
          <w:rFonts w:cstheme="minorHAnsi"/>
          <w:sz w:val="24"/>
          <w:szCs w:val="24"/>
          <w:lang w:val="en-US"/>
        </w:rPr>
        <w:t xml:space="preserve"> </w:t>
      </w:r>
      <w:r w:rsidRPr="00474FAB">
        <w:rPr>
          <w:rFonts w:cstheme="minorHAnsi"/>
          <w:sz w:val="24"/>
          <w:szCs w:val="24"/>
          <w:lang w:val="en-US"/>
        </w:rPr>
        <w:t xml:space="preserve">established the possibility for designers to obtain design protection through a single international application in countries that have ratified or acceded to one of the treaties on which the system is based. The Hague system is essentially based on three different treaties. The first two are the 1934 London Treaty and the 1960 Hague Treaty. The third treaty, which entered into force on 23 December 2003, is the 1999 Act of the Hague Convention on the International Registration of Industrial Designs, known as the Geneva Act. The Geneva Act is adapted both to countries with mandatory novelty searches and to countries without such searches, allowing more countries to join the Hague Convention. The Geneva Act can also be signed by intergovernmental </w:t>
      </w:r>
      <w:proofErr w:type="spellStart"/>
      <w:r w:rsidRPr="00474FAB">
        <w:rPr>
          <w:rFonts w:cstheme="minorHAnsi"/>
          <w:sz w:val="24"/>
          <w:szCs w:val="24"/>
          <w:lang w:val="en-US"/>
        </w:rPr>
        <w:t>organisations</w:t>
      </w:r>
      <w:proofErr w:type="spellEnd"/>
      <w:r w:rsidRPr="00474FAB">
        <w:rPr>
          <w:rFonts w:cstheme="minorHAnsi"/>
          <w:sz w:val="24"/>
          <w:szCs w:val="24"/>
          <w:lang w:val="en-US"/>
        </w:rPr>
        <w:t xml:space="preserve"> that have a regional office for the registration of designs. The EU joined in 2008, establishing a link between the Community design system and the international registration system under the Geneva Act. As a result, designer</w:t>
      </w:r>
      <w:r w:rsidR="00CD075F">
        <w:rPr>
          <w:rFonts w:cstheme="minorHAnsi"/>
          <w:sz w:val="24"/>
          <w:szCs w:val="24"/>
          <w:lang w:val="en-US"/>
        </w:rPr>
        <w:t>s</w:t>
      </w:r>
      <w:r w:rsidRPr="00474FAB">
        <w:rPr>
          <w:rFonts w:cstheme="minorHAnsi"/>
          <w:sz w:val="24"/>
          <w:szCs w:val="24"/>
          <w:lang w:val="en-US"/>
        </w:rPr>
        <w:t xml:space="preserve"> can designate the Union through an international application and obtain protection there for his design under the Community Design Regulation, but </w:t>
      </w:r>
      <w:r w:rsidR="00CD075F">
        <w:rPr>
          <w:rFonts w:cstheme="minorHAnsi"/>
          <w:sz w:val="24"/>
          <w:szCs w:val="24"/>
          <w:lang w:val="en-US"/>
        </w:rPr>
        <w:t>they</w:t>
      </w:r>
      <w:r w:rsidRPr="00474FAB">
        <w:rPr>
          <w:rFonts w:cstheme="minorHAnsi"/>
          <w:sz w:val="24"/>
          <w:szCs w:val="24"/>
          <w:lang w:val="en-US"/>
        </w:rPr>
        <w:t xml:space="preserve"> can </w:t>
      </w:r>
      <w:r w:rsidRPr="00474FAB">
        <w:rPr>
          <w:rFonts w:cstheme="minorHAnsi"/>
          <w:sz w:val="24"/>
          <w:szCs w:val="24"/>
          <w:lang w:val="en-US"/>
        </w:rPr>
        <w:lastRenderedPageBreak/>
        <w:t xml:space="preserve">also designate the territories that are party to the Geneva Act. It is therefore possible to obtain protection both inside and outside the EU through an international application.  A registration with the </w:t>
      </w:r>
      <w:r w:rsidR="00CD075F">
        <w:rPr>
          <w:rFonts w:cstheme="minorHAnsi"/>
          <w:sz w:val="24"/>
          <w:szCs w:val="24"/>
          <w:lang w:val="en-US"/>
        </w:rPr>
        <w:t xml:space="preserve">WIPO </w:t>
      </w:r>
      <w:r w:rsidRPr="00474FAB">
        <w:rPr>
          <w:rFonts w:cstheme="minorHAnsi"/>
          <w:sz w:val="24"/>
          <w:szCs w:val="24"/>
          <w:lang w:val="en-US"/>
        </w:rPr>
        <w:t xml:space="preserve">International Bureau has the same effect as a national registration. However, the detailed content of the protection is determined by the national legislation of each of the countries or </w:t>
      </w:r>
      <w:proofErr w:type="spellStart"/>
      <w:r w:rsidRPr="00474FAB">
        <w:rPr>
          <w:rFonts w:cstheme="minorHAnsi"/>
          <w:sz w:val="24"/>
          <w:szCs w:val="24"/>
          <w:lang w:val="en-US"/>
        </w:rPr>
        <w:t>organisations</w:t>
      </w:r>
      <w:proofErr w:type="spellEnd"/>
      <w:r w:rsidRPr="00474FAB">
        <w:rPr>
          <w:rFonts w:cstheme="minorHAnsi"/>
          <w:sz w:val="24"/>
          <w:szCs w:val="24"/>
          <w:lang w:val="en-US"/>
        </w:rPr>
        <w:t xml:space="preserve"> mentioned in the application. The system thus contains only one registration procedure and is a so-called closed system, which means that it can only be used by applicants from countries that have joined the system. </w:t>
      </w:r>
    </w:p>
    <w:p w14:paraId="1F463E2C" w14:textId="405C9E91" w:rsidR="000A59C1" w:rsidRPr="00474FAB" w:rsidRDefault="000A59C1" w:rsidP="000A59C1">
      <w:pPr>
        <w:rPr>
          <w:rFonts w:cstheme="minorHAnsi"/>
          <w:sz w:val="24"/>
          <w:szCs w:val="24"/>
          <w:lang w:val="en-US"/>
        </w:rPr>
      </w:pPr>
      <w:r w:rsidRPr="00474FAB">
        <w:rPr>
          <w:rFonts w:cstheme="minorHAnsi"/>
          <w:sz w:val="24"/>
          <w:szCs w:val="24"/>
          <w:lang w:val="en-US"/>
        </w:rPr>
        <w:t xml:space="preserve">The Locarno Agreement was concluded in 1968 and creates an international classification system for designs. The convention is administered by WIPO. The classification consists of an alphabetical list of products divided into classes and subclasses, which is used in the registration of designs. The Locarno Agreement classification is applied by many national Patent and Registration Offices. EUIPO has developed a sophisticated system for classifying products called </w:t>
      </w:r>
      <w:proofErr w:type="spellStart"/>
      <w:r w:rsidRPr="00474FAB">
        <w:rPr>
          <w:rFonts w:cstheme="minorHAnsi"/>
          <w:sz w:val="24"/>
          <w:szCs w:val="24"/>
          <w:lang w:val="en-US"/>
        </w:rPr>
        <w:t>Eurolocarno</w:t>
      </w:r>
      <w:proofErr w:type="spellEnd"/>
      <w:r w:rsidRPr="00474FAB">
        <w:rPr>
          <w:rFonts w:cstheme="minorHAnsi"/>
          <w:sz w:val="24"/>
          <w:szCs w:val="24"/>
          <w:lang w:val="en-US"/>
        </w:rPr>
        <w:t>, which is based on the Locarno Agreement classification.</w:t>
      </w:r>
    </w:p>
    <w:p w14:paraId="16D64E28" w14:textId="0F78B36A" w:rsidR="008A5A69" w:rsidRDefault="000A59C1" w:rsidP="000A59C1">
      <w:pPr>
        <w:rPr>
          <w:rFonts w:cstheme="minorHAnsi"/>
          <w:sz w:val="24"/>
          <w:szCs w:val="24"/>
          <w:lang w:val="en-US"/>
        </w:rPr>
      </w:pPr>
      <w:r w:rsidRPr="00474FAB">
        <w:rPr>
          <w:rFonts w:cstheme="minorHAnsi"/>
          <w:sz w:val="24"/>
          <w:szCs w:val="24"/>
          <w:lang w:val="en-US"/>
        </w:rPr>
        <w:t>The Berne Convention for the Protection of Literary and Artistic Works (see Chapter XX) is also relevant for certain fashion designs. According to Article 2(7) of the Berne Convention, Member States may determine the scope of application of industrial design laws and the conditions for such protection. At the same time, that provision also does not preclude the cumulation of those two protections</w:t>
      </w:r>
      <w:r w:rsidR="00581E00">
        <w:rPr>
          <w:rFonts w:cstheme="minorHAnsi"/>
          <w:sz w:val="24"/>
          <w:szCs w:val="24"/>
          <w:lang w:val="en-US"/>
        </w:rPr>
        <w:t>.</w:t>
      </w:r>
      <w:r w:rsidR="00581E00">
        <w:rPr>
          <w:rStyle w:val="FootnoteReference"/>
          <w:rFonts w:cstheme="minorHAnsi"/>
          <w:sz w:val="24"/>
          <w:szCs w:val="24"/>
          <w:lang w:val="en-US"/>
        </w:rPr>
        <w:footnoteReference w:id="6"/>
      </w:r>
      <w:r w:rsidRPr="00474FAB">
        <w:rPr>
          <w:rFonts w:cstheme="minorHAnsi"/>
          <w:sz w:val="24"/>
          <w:szCs w:val="24"/>
          <w:lang w:val="en-US"/>
        </w:rPr>
        <w:t xml:space="preserve"> Furthermore, the Berne Convention provides that works which are protected in their country of origin solely as designs may, in another country of the Union, claim only the protection afforded in that country to designs. Article 2(7). If there is no such special protection </w:t>
      </w:r>
      <w:r w:rsidR="00CD075F" w:rsidRPr="00474FAB">
        <w:rPr>
          <w:rFonts w:cstheme="minorHAnsi"/>
          <w:sz w:val="24"/>
          <w:szCs w:val="24"/>
          <w:lang w:val="en-US"/>
        </w:rPr>
        <w:t xml:space="preserve">for designs </w:t>
      </w:r>
      <w:r w:rsidRPr="00474FAB">
        <w:rPr>
          <w:rFonts w:cstheme="minorHAnsi"/>
          <w:sz w:val="24"/>
          <w:szCs w:val="24"/>
          <w:lang w:val="en-US"/>
        </w:rPr>
        <w:t xml:space="preserve">in the other EU country, the work will be protected as a work of art if the conditions for protection are met. </w:t>
      </w:r>
    </w:p>
    <w:p w14:paraId="5A9FBBCA" w14:textId="27602874" w:rsidR="000A59C1" w:rsidRPr="00474FAB" w:rsidRDefault="000A59C1" w:rsidP="000A59C1">
      <w:pPr>
        <w:rPr>
          <w:rFonts w:cstheme="minorHAnsi"/>
          <w:sz w:val="24"/>
          <w:szCs w:val="24"/>
          <w:lang w:val="en-US"/>
        </w:rPr>
      </w:pPr>
      <w:r w:rsidRPr="00474FAB">
        <w:rPr>
          <w:rFonts w:cstheme="minorHAnsi"/>
          <w:sz w:val="24"/>
          <w:szCs w:val="24"/>
          <w:lang w:val="en-US"/>
        </w:rPr>
        <w:t>Within the EU, two legal instruments have been adopted that regulate design protection within the Union. One is the Directive 98/71/EC of the European Parliament and of the Council of 13 October 1998 on the legal protection of designs (Design Directive</w:t>
      </w:r>
      <w:r w:rsidR="004B1DBA">
        <w:rPr>
          <w:rFonts w:cstheme="minorHAnsi"/>
          <w:sz w:val="24"/>
          <w:szCs w:val="24"/>
          <w:lang w:val="en-US"/>
        </w:rPr>
        <w:t xml:space="preserve"> (DD)</w:t>
      </w:r>
      <w:r w:rsidRPr="00474FAB">
        <w:rPr>
          <w:rFonts w:cstheme="minorHAnsi"/>
          <w:sz w:val="24"/>
          <w:szCs w:val="24"/>
          <w:lang w:val="en-US"/>
        </w:rPr>
        <w:t xml:space="preserve">), which aims to </w:t>
      </w:r>
      <w:proofErr w:type="spellStart"/>
      <w:r w:rsidRPr="00474FAB">
        <w:rPr>
          <w:rFonts w:cstheme="minorHAnsi"/>
          <w:sz w:val="24"/>
          <w:szCs w:val="24"/>
          <w:lang w:val="en-US"/>
        </w:rPr>
        <w:t>harmonise</w:t>
      </w:r>
      <w:proofErr w:type="spellEnd"/>
      <w:r w:rsidRPr="00474FAB">
        <w:rPr>
          <w:rFonts w:cstheme="minorHAnsi"/>
          <w:sz w:val="24"/>
          <w:szCs w:val="24"/>
          <w:lang w:val="en-US"/>
        </w:rPr>
        <w:t xml:space="preserve"> Member States' laws on design protection. The directive is not a full harmonisation directive, but harmonisation was limited to the rules that were considered to have the greatest impact on the functioning of the internal market. It was left to each nation to determine the rules on penalties, liability, application and enforcement (see recital 5). Although </w:t>
      </w:r>
      <w:proofErr w:type="spellStart"/>
      <w:r w:rsidRPr="00474FAB">
        <w:rPr>
          <w:rFonts w:cstheme="minorHAnsi"/>
          <w:sz w:val="24"/>
          <w:szCs w:val="24"/>
          <w:lang w:val="en-US"/>
        </w:rPr>
        <w:t>harmonised</w:t>
      </w:r>
      <w:proofErr w:type="spellEnd"/>
      <w:r w:rsidRPr="00474FAB">
        <w:rPr>
          <w:rFonts w:cstheme="minorHAnsi"/>
          <w:sz w:val="24"/>
          <w:szCs w:val="24"/>
          <w:lang w:val="en-US"/>
        </w:rPr>
        <w:t xml:space="preserve"> rules on sanctions were later introduced via the Directive 2004/48/EC of the European Parliament and of the Council of 29 April 2004 on the enforcement of intellectual property rights (IPRED Directive). Member States also retained 'the freedom to determine the procedures for the registration, renewal and cancellation of design rights, as well as the rules governing the effects of such cancellation' (see recital 6). The purpose of the Directive was thus to </w:t>
      </w:r>
      <w:proofErr w:type="spellStart"/>
      <w:r w:rsidRPr="00474FAB">
        <w:rPr>
          <w:rFonts w:cstheme="minorHAnsi"/>
          <w:sz w:val="24"/>
          <w:szCs w:val="24"/>
          <w:lang w:val="en-US"/>
        </w:rPr>
        <w:t>harmonise</w:t>
      </w:r>
      <w:proofErr w:type="spellEnd"/>
      <w:r w:rsidRPr="00474FAB">
        <w:rPr>
          <w:rFonts w:cstheme="minorHAnsi"/>
          <w:sz w:val="24"/>
          <w:szCs w:val="24"/>
          <w:lang w:val="en-US"/>
        </w:rPr>
        <w:t xml:space="preserve"> the requirements for qualification, the scope of protection, the term of protection, the presumption of validity and the exclusive right. </w:t>
      </w:r>
    </w:p>
    <w:p w14:paraId="3CF42586" w14:textId="6B1D1ED5" w:rsidR="000A59C1" w:rsidRPr="00474FAB" w:rsidRDefault="000A59C1" w:rsidP="000A59C1">
      <w:pPr>
        <w:rPr>
          <w:rFonts w:cstheme="minorHAnsi"/>
          <w:sz w:val="24"/>
          <w:szCs w:val="24"/>
          <w:lang w:val="en-US"/>
        </w:rPr>
      </w:pPr>
      <w:r w:rsidRPr="00474FAB">
        <w:rPr>
          <w:rFonts w:cstheme="minorHAnsi"/>
          <w:sz w:val="24"/>
          <w:szCs w:val="24"/>
          <w:lang w:val="en-US"/>
        </w:rPr>
        <w:t>The second legal instrument governing design protection is the Council Regulation (EC) No 6/2002 of 12 December 2001 on Community designs (Design Regulation</w:t>
      </w:r>
      <w:r w:rsidR="004B1DBA">
        <w:rPr>
          <w:rFonts w:cstheme="minorHAnsi"/>
          <w:sz w:val="24"/>
          <w:szCs w:val="24"/>
          <w:lang w:val="en-US"/>
        </w:rPr>
        <w:t xml:space="preserve"> (</w:t>
      </w:r>
      <w:r w:rsidR="00322AB7">
        <w:rPr>
          <w:rFonts w:cstheme="minorHAnsi"/>
          <w:sz w:val="24"/>
          <w:szCs w:val="24"/>
          <w:lang w:val="en-US"/>
        </w:rPr>
        <w:t>RCD</w:t>
      </w:r>
      <w:r w:rsidR="004B1DBA">
        <w:rPr>
          <w:rFonts w:cstheme="minorHAnsi"/>
          <w:sz w:val="24"/>
          <w:szCs w:val="24"/>
          <w:lang w:val="en-US"/>
        </w:rPr>
        <w:t>)</w:t>
      </w:r>
      <w:r w:rsidRPr="00474FAB">
        <w:rPr>
          <w:rFonts w:cstheme="minorHAnsi"/>
          <w:sz w:val="24"/>
          <w:szCs w:val="24"/>
          <w:lang w:val="en-US"/>
        </w:rPr>
        <w:t xml:space="preserve">). The Regulation establishes an EU legal system for the protection of designs and is directly </w:t>
      </w:r>
      <w:r w:rsidRPr="00474FAB">
        <w:rPr>
          <w:rFonts w:cstheme="minorHAnsi"/>
          <w:sz w:val="24"/>
          <w:szCs w:val="24"/>
          <w:lang w:val="en-US"/>
        </w:rPr>
        <w:lastRenderedPageBreak/>
        <w:t>applicable in the Member States. The Regulation states that Community designs can be protected either as unregistered or registered Community designs.</w:t>
      </w:r>
    </w:p>
    <w:p w14:paraId="00E6ED46" w14:textId="05EEA038" w:rsidR="008A5A69" w:rsidRDefault="008A5A69" w:rsidP="008A5A69">
      <w:pPr>
        <w:rPr>
          <w:rFonts w:cstheme="minorHAnsi"/>
          <w:lang w:val="en-US"/>
        </w:rPr>
      </w:pPr>
      <w:r w:rsidRPr="00656E7D">
        <w:rPr>
          <w:rFonts w:cstheme="minorHAnsi"/>
          <w:sz w:val="24"/>
          <w:szCs w:val="24"/>
          <w:lang w:val="en-US"/>
        </w:rPr>
        <w:t xml:space="preserve">The fashion sector produces large numbers of “collections” a year, with a relatively short market life. It creates a demand for an automatic, efficient, short-term IP protection that could hinder copying without the burden of registration. The Community Design Regulation answers that demand </w:t>
      </w:r>
      <w:r>
        <w:rPr>
          <w:rFonts w:cstheme="minorHAnsi"/>
          <w:sz w:val="24"/>
          <w:szCs w:val="24"/>
          <w:lang w:val="en-US"/>
        </w:rPr>
        <w:t>as it</w:t>
      </w:r>
      <w:r w:rsidRPr="00656E7D">
        <w:rPr>
          <w:rFonts w:cstheme="minorHAnsi"/>
          <w:sz w:val="24"/>
          <w:szCs w:val="24"/>
          <w:lang w:val="en-US"/>
        </w:rPr>
        <w:t xml:space="preserve"> provides both for unregistered and registered design protection. The unregistered design gives the fashion designer three-year protection from the design first being made available to the public and protects against copying the protected design. However, s</w:t>
      </w:r>
      <w:r>
        <w:rPr>
          <w:rFonts w:cstheme="minorHAnsi"/>
          <w:sz w:val="24"/>
          <w:szCs w:val="24"/>
          <w:lang w:val="en-US"/>
        </w:rPr>
        <w:t>o</w:t>
      </w:r>
      <w:r w:rsidRPr="00656E7D">
        <w:rPr>
          <w:rFonts w:cstheme="minorHAnsi"/>
          <w:sz w:val="24"/>
          <w:szCs w:val="24"/>
          <w:lang w:val="en-US"/>
        </w:rPr>
        <w:t xml:space="preserve">metimes there is a need for broader protection covering designs that produce the same overall impression on the informed user. For iconic fashion products, such as the </w:t>
      </w:r>
      <w:proofErr w:type="spellStart"/>
      <w:r w:rsidRPr="00656E7D">
        <w:rPr>
          <w:rFonts w:cstheme="minorHAnsi"/>
          <w:sz w:val="24"/>
          <w:szCs w:val="24"/>
          <w:lang w:val="en-US"/>
        </w:rPr>
        <w:t>Hermés</w:t>
      </w:r>
      <w:proofErr w:type="spellEnd"/>
      <w:r w:rsidRPr="00656E7D">
        <w:rPr>
          <w:rFonts w:cstheme="minorHAnsi"/>
          <w:sz w:val="24"/>
          <w:szCs w:val="24"/>
          <w:lang w:val="en-US"/>
        </w:rPr>
        <w:t xml:space="preserve"> Birkin Bag, the industry often values the advantages of registration as this gives broader and longer-term protection</w:t>
      </w:r>
      <w:r>
        <w:rPr>
          <w:rFonts w:cstheme="minorHAnsi"/>
          <w:lang w:val="en-US"/>
        </w:rPr>
        <w:t xml:space="preserve">. </w:t>
      </w:r>
    </w:p>
    <w:p w14:paraId="0796A157" w14:textId="77777777" w:rsidR="001703F7" w:rsidRPr="00474FAB" w:rsidRDefault="001703F7" w:rsidP="001627EE">
      <w:pPr>
        <w:jc w:val="both"/>
        <w:rPr>
          <w:rFonts w:cstheme="minorHAnsi"/>
          <w:sz w:val="24"/>
          <w:szCs w:val="24"/>
          <w:lang w:val="en-US"/>
        </w:rPr>
      </w:pPr>
    </w:p>
    <w:p w14:paraId="38B8482B" w14:textId="396A1D8D" w:rsidR="001703F7" w:rsidRPr="00474FAB" w:rsidRDefault="001703F7" w:rsidP="003B682F">
      <w:pPr>
        <w:pStyle w:val="ListParagraph"/>
        <w:numPr>
          <w:ilvl w:val="0"/>
          <w:numId w:val="7"/>
        </w:numPr>
        <w:jc w:val="both"/>
        <w:rPr>
          <w:rFonts w:cstheme="minorHAnsi"/>
          <w:sz w:val="24"/>
          <w:szCs w:val="24"/>
          <w:lang w:val="en-US"/>
        </w:rPr>
      </w:pPr>
      <w:r w:rsidRPr="00474FAB">
        <w:rPr>
          <w:rFonts w:cstheme="minorHAnsi"/>
          <w:sz w:val="24"/>
          <w:szCs w:val="24"/>
          <w:lang w:val="en-US"/>
        </w:rPr>
        <w:t>T</w:t>
      </w:r>
      <w:bookmarkStart w:id="2" w:name="_Hlk141094515"/>
      <w:r w:rsidRPr="00474FAB">
        <w:rPr>
          <w:rFonts w:cstheme="minorHAnsi"/>
          <w:sz w:val="24"/>
          <w:szCs w:val="24"/>
          <w:lang w:val="en-US"/>
        </w:rPr>
        <w:t>HE PROTECTION OF FASHION BY EU DESIGN LAW</w:t>
      </w:r>
    </w:p>
    <w:p w14:paraId="61C701C4" w14:textId="0F30F846" w:rsidR="001D1D0B" w:rsidRPr="001A0121" w:rsidRDefault="001703F7" w:rsidP="00474FAB">
      <w:pPr>
        <w:pStyle w:val="ListParagraph"/>
        <w:numPr>
          <w:ilvl w:val="0"/>
          <w:numId w:val="4"/>
        </w:numPr>
        <w:jc w:val="both"/>
        <w:rPr>
          <w:rFonts w:cstheme="minorHAnsi"/>
          <w:sz w:val="24"/>
          <w:szCs w:val="24"/>
          <w:lang w:val="en-US"/>
        </w:rPr>
      </w:pPr>
      <w:r w:rsidRPr="00474FAB">
        <w:rPr>
          <w:rFonts w:cstheme="minorHAnsi"/>
          <w:sz w:val="24"/>
          <w:szCs w:val="24"/>
          <w:lang w:val="en-US"/>
        </w:rPr>
        <w:t xml:space="preserve">Fashion and the concept of Design </w:t>
      </w:r>
    </w:p>
    <w:p w14:paraId="6EF35C08" w14:textId="3C35D857" w:rsidR="00D8025C" w:rsidRPr="00D8025C" w:rsidRDefault="00D8025C" w:rsidP="00D8025C">
      <w:pPr>
        <w:rPr>
          <w:rStyle w:val="eop"/>
          <w:rFonts w:ascii="Calibri" w:hAnsi="Calibri" w:cs="Calibri"/>
          <w:color w:val="000000"/>
          <w:sz w:val="24"/>
          <w:szCs w:val="24"/>
          <w:shd w:val="clear" w:color="auto" w:fill="FFFFFF"/>
          <w:lang w:val="en-US"/>
        </w:rPr>
      </w:pPr>
      <w:r w:rsidRPr="00D8025C">
        <w:rPr>
          <w:rStyle w:val="eop"/>
          <w:rFonts w:ascii="Calibri" w:hAnsi="Calibri" w:cs="Calibri"/>
          <w:color w:val="000000"/>
          <w:sz w:val="24"/>
          <w:szCs w:val="24"/>
          <w:shd w:val="clear" w:color="auto" w:fill="FFFFFF"/>
          <w:lang w:val="en-US"/>
        </w:rPr>
        <w:t xml:space="preserve">A design is the visual appearance of a product or part of a product. A </w:t>
      </w:r>
      <w:r w:rsidRPr="00D8025C">
        <w:rPr>
          <w:rStyle w:val="eop"/>
          <w:rFonts w:ascii="Calibri" w:hAnsi="Calibri" w:cs="Calibri"/>
          <w:i/>
          <w:iCs/>
          <w:color w:val="000000"/>
          <w:sz w:val="24"/>
          <w:szCs w:val="24"/>
          <w:shd w:val="clear" w:color="auto" w:fill="FFFFFF"/>
          <w:lang w:val="en-US"/>
        </w:rPr>
        <w:t xml:space="preserve">product </w:t>
      </w:r>
      <w:r w:rsidRPr="00D8025C">
        <w:rPr>
          <w:rStyle w:val="eop"/>
          <w:rFonts w:ascii="Calibri" w:hAnsi="Calibri" w:cs="Calibri"/>
          <w:color w:val="000000"/>
          <w:sz w:val="24"/>
          <w:szCs w:val="24"/>
          <w:shd w:val="clear" w:color="auto" w:fill="FFFFFF"/>
          <w:lang w:val="en-US"/>
        </w:rPr>
        <w:t>is an “industrial or handicraft item”, including, inter alia, parts intended to be assembled into a complex product, packaging, get-up, graphic symbols and typographic typefaces, but excluding computer programs, article 3b RCD. EUIPO do not examine</w:t>
      </w:r>
      <w:r w:rsidRPr="00D8025C">
        <w:rPr>
          <w:sz w:val="24"/>
          <w:szCs w:val="24"/>
          <w:lang w:val="en-US"/>
        </w:rPr>
        <w:t xml:space="preserve"> </w:t>
      </w:r>
      <w:r w:rsidRPr="00D8025C">
        <w:rPr>
          <w:rStyle w:val="eop"/>
          <w:rFonts w:ascii="Calibri" w:hAnsi="Calibri" w:cs="Calibri"/>
          <w:color w:val="000000"/>
          <w:sz w:val="24"/>
          <w:szCs w:val="24"/>
          <w:shd w:val="clear" w:color="auto" w:fill="FFFFFF"/>
          <w:lang w:val="en-US"/>
        </w:rPr>
        <w:t xml:space="preserve">whether the product claimed is </w:t>
      </w:r>
      <w:proofErr w:type="gramStart"/>
      <w:r w:rsidRPr="00D8025C">
        <w:rPr>
          <w:rStyle w:val="eop"/>
          <w:rFonts w:ascii="Calibri" w:hAnsi="Calibri" w:cs="Calibri"/>
          <w:color w:val="000000"/>
          <w:sz w:val="24"/>
          <w:szCs w:val="24"/>
          <w:shd w:val="clear" w:color="auto" w:fill="FFFFFF"/>
          <w:lang w:val="en-US"/>
        </w:rPr>
        <w:t>actually made</w:t>
      </w:r>
      <w:proofErr w:type="gramEnd"/>
      <w:r w:rsidRPr="00D8025C">
        <w:rPr>
          <w:rStyle w:val="eop"/>
          <w:rFonts w:ascii="Calibri" w:hAnsi="Calibri" w:cs="Calibri"/>
          <w:color w:val="000000"/>
          <w:sz w:val="24"/>
          <w:szCs w:val="24"/>
          <w:shd w:val="clear" w:color="auto" w:fill="FFFFFF"/>
          <w:lang w:val="en-US"/>
        </w:rPr>
        <w:t xml:space="preserve"> or used, or can be made or used, in an industrial or handicraft manner.</w:t>
      </w:r>
      <w:r w:rsidRPr="00D8025C">
        <w:rPr>
          <w:rStyle w:val="FootnoteReference"/>
          <w:rFonts w:ascii="Calibri" w:hAnsi="Calibri" w:cs="Calibri"/>
          <w:color w:val="000000"/>
          <w:sz w:val="24"/>
          <w:szCs w:val="24"/>
          <w:shd w:val="clear" w:color="auto" w:fill="FFFFFF"/>
          <w:lang w:val="en-US"/>
        </w:rPr>
        <w:footnoteReference w:id="7"/>
      </w:r>
      <w:r w:rsidRPr="00D8025C">
        <w:rPr>
          <w:rStyle w:val="eop"/>
          <w:rFonts w:ascii="Calibri" w:hAnsi="Calibri" w:cs="Calibri"/>
          <w:color w:val="000000"/>
          <w:sz w:val="24"/>
          <w:szCs w:val="24"/>
          <w:shd w:val="clear" w:color="auto" w:fill="FFFFFF"/>
          <w:lang w:val="en-US"/>
        </w:rPr>
        <w:t xml:space="preserve"> As most of the goods in the fashion industry are industrial or handcraft items, such as garments, shoes, bags, jewelry etc. </w:t>
      </w:r>
    </w:p>
    <w:p w14:paraId="7585F59B" w14:textId="78B96110" w:rsidR="00D8025C" w:rsidRPr="00D8025C" w:rsidRDefault="00D8025C" w:rsidP="00D8025C">
      <w:pPr>
        <w:rPr>
          <w:rStyle w:val="eop"/>
          <w:rFonts w:ascii="Calibri" w:hAnsi="Calibri" w:cs="Calibri"/>
          <w:color w:val="000000"/>
          <w:sz w:val="24"/>
          <w:szCs w:val="24"/>
          <w:shd w:val="clear" w:color="auto" w:fill="FFFFFF"/>
          <w:lang w:val="en-US"/>
        </w:rPr>
      </w:pPr>
      <w:r w:rsidRPr="00D8025C">
        <w:rPr>
          <w:rStyle w:val="eop"/>
          <w:rFonts w:ascii="Calibri" w:hAnsi="Calibri" w:cs="Calibri"/>
          <w:color w:val="000000"/>
          <w:sz w:val="24"/>
          <w:szCs w:val="24"/>
          <w:shd w:val="clear" w:color="auto" w:fill="FFFFFF"/>
          <w:lang w:val="en-US"/>
        </w:rPr>
        <w:t xml:space="preserve">A </w:t>
      </w:r>
      <w:r w:rsidRPr="00D8025C">
        <w:rPr>
          <w:rStyle w:val="eop"/>
          <w:rFonts w:ascii="Calibri" w:hAnsi="Calibri" w:cs="Calibri"/>
          <w:i/>
          <w:iCs/>
          <w:color w:val="000000"/>
          <w:sz w:val="24"/>
          <w:szCs w:val="24"/>
          <w:shd w:val="clear" w:color="auto" w:fill="FFFFFF"/>
          <w:lang w:val="en-US"/>
        </w:rPr>
        <w:t>complex product</w:t>
      </w:r>
      <w:r w:rsidRPr="00D8025C">
        <w:rPr>
          <w:rStyle w:val="eop"/>
          <w:rFonts w:ascii="Calibri" w:hAnsi="Calibri" w:cs="Calibri"/>
          <w:color w:val="000000"/>
          <w:sz w:val="24"/>
          <w:szCs w:val="24"/>
          <w:shd w:val="clear" w:color="auto" w:fill="FFFFFF"/>
          <w:lang w:val="en-US"/>
        </w:rPr>
        <w:t xml:space="preserve"> is “a product which is composed of multiple components which can be replaced permitting disassembly and re-assembly of the product”, article 3c CDR. A complex product could for example be a bag. However, a complex product can only be protected if the component part, once it has been incorporated into the complex product, remains visible during normal use and these visible features of the component part meets the requirement novelty and individual character (see below), article 4.2 RCD.</w:t>
      </w:r>
    </w:p>
    <w:p w14:paraId="4C05A42A" w14:textId="6141EA92" w:rsidR="00D8025C" w:rsidRPr="00D8025C" w:rsidRDefault="00D8025C" w:rsidP="00D8025C">
      <w:pPr>
        <w:rPr>
          <w:rStyle w:val="eop"/>
          <w:rFonts w:ascii="Calibri" w:hAnsi="Calibri" w:cs="Calibri"/>
          <w:color w:val="000000"/>
          <w:sz w:val="24"/>
          <w:szCs w:val="24"/>
          <w:shd w:val="clear" w:color="auto" w:fill="FFFFFF"/>
          <w:lang w:val="en-US"/>
        </w:rPr>
      </w:pPr>
      <w:r w:rsidRPr="00D8025C">
        <w:rPr>
          <w:rStyle w:val="eop"/>
          <w:rFonts w:ascii="Calibri" w:hAnsi="Calibri" w:cs="Calibri"/>
          <w:color w:val="000000"/>
          <w:sz w:val="24"/>
          <w:szCs w:val="24"/>
          <w:shd w:val="clear" w:color="auto" w:fill="FFFFFF"/>
          <w:lang w:val="en-US"/>
        </w:rPr>
        <w:t xml:space="preserve">A </w:t>
      </w:r>
      <w:r w:rsidRPr="00F35BC2">
        <w:rPr>
          <w:rStyle w:val="eop"/>
          <w:rFonts w:ascii="Calibri" w:hAnsi="Calibri" w:cs="Calibri"/>
          <w:i/>
          <w:iCs/>
          <w:color w:val="000000"/>
          <w:sz w:val="24"/>
          <w:szCs w:val="24"/>
          <w:shd w:val="clear" w:color="auto" w:fill="FFFFFF"/>
          <w:lang w:val="en-US"/>
        </w:rPr>
        <w:t>design</w:t>
      </w:r>
      <w:r w:rsidRPr="00D8025C">
        <w:rPr>
          <w:rStyle w:val="eop"/>
          <w:rFonts w:ascii="Calibri" w:hAnsi="Calibri" w:cs="Calibri"/>
          <w:color w:val="000000"/>
          <w:sz w:val="24"/>
          <w:szCs w:val="24"/>
          <w:shd w:val="clear" w:color="auto" w:fill="FFFFFF"/>
          <w:lang w:val="en-US"/>
        </w:rPr>
        <w:t xml:space="preserve"> is defined as “‘the appearance of the whole or a part of a product resulting from the features of</w:t>
      </w:r>
      <w:proofErr w:type="gramStart"/>
      <w:r w:rsidRPr="00D8025C">
        <w:rPr>
          <w:rStyle w:val="eop"/>
          <w:rFonts w:ascii="Calibri" w:hAnsi="Calibri" w:cs="Calibri"/>
          <w:color w:val="000000"/>
          <w:sz w:val="24"/>
          <w:szCs w:val="24"/>
          <w:shd w:val="clear" w:color="auto" w:fill="FFFFFF"/>
          <w:lang w:val="en-US"/>
        </w:rPr>
        <w:t>, in particular, the</w:t>
      </w:r>
      <w:proofErr w:type="gramEnd"/>
      <w:r w:rsidRPr="00D8025C">
        <w:rPr>
          <w:rStyle w:val="eop"/>
          <w:rFonts w:ascii="Calibri" w:hAnsi="Calibri" w:cs="Calibri"/>
          <w:color w:val="000000"/>
          <w:sz w:val="24"/>
          <w:szCs w:val="24"/>
          <w:shd w:val="clear" w:color="auto" w:fill="FFFFFF"/>
          <w:lang w:val="en-US"/>
        </w:rPr>
        <w:t xml:space="preserve"> lines, contours, </w:t>
      </w:r>
      <w:proofErr w:type="spellStart"/>
      <w:r w:rsidRPr="00D8025C">
        <w:rPr>
          <w:rStyle w:val="eop"/>
          <w:rFonts w:ascii="Calibri" w:hAnsi="Calibri" w:cs="Calibri"/>
          <w:color w:val="000000"/>
          <w:sz w:val="24"/>
          <w:szCs w:val="24"/>
          <w:shd w:val="clear" w:color="auto" w:fill="FFFFFF"/>
          <w:lang w:val="en-US"/>
        </w:rPr>
        <w:t>colours</w:t>
      </w:r>
      <w:proofErr w:type="spellEnd"/>
      <w:r w:rsidRPr="00D8025C">
        <w:rPr>
          <w:rStyle w:val="eop"/>
          <w:rFonts w:ascii="Calibri" w:hAnsi="Calibri" w:cs="Calibri"/>
          <w:color w:val="000000"/>
          <w:sz w:val="24"/>
          <w:szCs w:val="24"/>
          <w:shd w:val="clear" w:color="auto" w:fill="FFFFFF"/>
          <w:lang w:val="en-US"/>
        </w:rPr>
        <w:t>, shape, texture and/or materials of the product itself and/or its ornamentation”, article 3.8 RCD and article 1.a DD. The design must be manifested in physical form and therefore design rights do not protect thoughts</w:t>
      </w:r>
      <w:r w:rsidR="00A57BE7">
        <w:rPr>
          <w:rStyle w:val="eop"/>
          <w:rFonts w:ascii="Calibri" w:hAnsi="Calibri" w:cs="Calibri"/>
          <w:color w:val="000000"/>
          <w:sz w:val="24"/>
          <w:szCs w:val="24"/>
          <w:shd w:val="clear" w:color="auto" w:fill="FFFFFF"/>
          <w:lang w:val="en-US"/>
        </w:rPr>
        <w:t xml:space="preserve"> </w:t>
      </w:r>
      <w:r w:rsidRPr="00D8025C">
        <w:rPr>
          <w:rStyle w:val="eop"/>
          <w:rFonts w:ascii="Calibri" w:hAnsi="Calibri" w:cs="Calibri"/>
          <w:color w:val="000000"/>
          <w:sz w:val="24"/>
          <w:szCs w:val="24"/>
          <w:shd w:val="clear" w:color="auto" w:fill="FFFFFF"/>
          <w:lang w:val="en-US"/>
        </w:rPr>
        <w:t xml:space="preserve">or design concepts. </w:t>
      </w:r>
      <w:r w:rsidR="00A57BE7" w:rsidRPr="00474FAB">
        <w:rPr>
          <w:rFonts w:cstheme="minorHAnsi"/>
          <w:sz w:val="24"/>
          <w:szCs w:val="24"/>
          <w:lang w:val="en-US"/>
        </w:rPr>
        <w:t xml:space="preserve">The definition </w:t>
      </w:r>
      <w:r w:rsidR="00A57BE7">
        <w:rPr>
          <w:rFonts w:cstheme="minorHAnsi"/>
          <w:sz w:val="24"/>
          <w:szCs w:val="24"/>
          <w:lang w:val="en-US"/>
        </w:rPr>
        <w:t xml:space="preserve">also </w:t>
      </w:r>
      <w:r w:rsidR="00A57BE7" w:rsidRPr="00474FAB">
        <w:rPr>
          <w:rFonts w:cstheme="minorHAnsi"/>
          <w:sz w:val="24"/>
          <w:szCs w:val="24"/>
          <w:lang w:val="en-US"/>
        </w:rPr>
        <w:t>excludes ideas and styles e.g., a garment made with the patchwork technique.</w:t>
      </w:r>
      <w:r w:rsidR="00A57BE7" w:rsidRPr="00474FAB">
        <w:rPr>
          <w:rStyle w:val="FootnoteReference"/>
          <w:rFonts w:cstheme="minorHAnsi"/>
          <w:sz w:val="24"/>
          <w:szCs w:val="24"/>
          <w:lang w:val="en-US"/>
        </w:rPr>
        <w:footnoteReference w:id="8"/>
      </w:r>
      <w:r w:rsidR="00A57BE7" w:rsidRPr="00474FAB">
        <w:rPr>
          <w:rFonts w:cstheme="minorHAnsi"/>
          <w:sz w:val="24"/>
          <w:szCs w:val="24"/>
          <w:lang w:val="en-US"/>
        </w:rPr>
        <w:t xml:space="preserve"> However, it must form part of the visual appearance of the product.</w:t>
      </w:r>
      <w:r w:rsidR="00A57BE7" w:rsidRPr="00474FAB">
        <w:rPr>
          <w:rStyle w:val="FootnoteReference"/>
          <w:rFonts w:cstheme="minorHAnsi"/>
          <w:sz w:val="24"/>
          <w:szCs w:val="24"/>
          <w:lang w:val="en-US"/>
        </w:rPr>
        <w:t xml:space="preserve"> </w:t>
      </w:r>
      <w:r w:rsidR="00A57BE7" w:rsidRPr="00474FAB">
        <w:rPr>
          <w:rStyle w:val="FootnoteReference"/>
          <w:rFonts w:cstheme="minorHAnsi"/>
          <w:sz w:val="24"/>
          <w:szCs w:val="24"/>
          <w:lang w:val="en-US"/>
        </w:rPr>
        <w:footnoteReference w:id="9"/>
      </w:r>
      <w:r w:rsidR="00A57BE7" w:rsidRPr="00474FAB">
        <w:rPr>
          <w:rFonts w:cstheme="minorHAnsi"/>
          <w:sz w:val="24"/>
          <w:szCs w:val="24"/>
          <w:lang w:val="en-US"/>
        </w:rPr>
        <w:t xml:space="preserve"> </w:t>
      </w:r>
      <w:r w:rsidR="00A57BE7">
        <w:rPr>
          <w:rStyle w:val="eop"/>
          <w:rFonts w:ascii="Calibri" w:hAnsi="Calibri" w:cs="Calibri"/>
          <w:color w:val="000000"/>
          <w:sz w:val="24"/>
          <w:szCs w:val="24"/>
          <w:shd w:val="clear" w:color="auto" w:fill="FFFFFF"/>
          <w:lang w:val="en-US"/>
        </w:rPr>
        <w:lastRenderedPageBreak/>
        <w:t xml:space="preserve">It </w:t>
      </w:r>
      <w:r w:rsidRPr="00D8025C">
        <w:rPr>
          <w:rStyle w:val="eop"/>
          <w:rFonts w:ascii="Calibri" w:hAnsi="Calibri" w:cs="Calibri"/>
          <w:color w:val="000000"/>
          <w:sz w:val="24"/>
          <w:szCs w:val="24"/>
          <w:shd w:val="clear" w:color="auto" w:fill="FFFFFF"/>
          <w:lang w:val="en-US"/>
        </w:rPr>
        <w:t>means that the design must be perceptible to the eye, with or without aids can be protected. However, the design must not be aesthetically pleasing, beautiful, or creative.</w:t>
      </w:r>
      <w:r w:rsidR="00157493" w:rsidRPr="00157493">
        <w:rPr>
          <w:rStyle w:val="FootnoteReference"/>
          <w:rFonts w:cstheme="minorHAnsi"/>
          <w:sz w:val="24"/>
          <w:szCs w:val="24"/>
          <w:lang w:val="en-US"/>
        </w:rPr>
        <w:t xml:space="preserve"> </w:t>
      </w:r>
      <w:r w:rsidR="00157493" w:rsidRPr="00474FAB">
        <w:rPr>
          <w:rStyle w:val="FootnoteReference"/>
          <w:rFonts w:cstheme="minorHAnsi"/>
          <w:sz w:val="24"/>
          <w:szCs w:val="24"/>
          <w:lang w:val="en-US"/>
        </w:rPr>
        <w:footnoteReference w:id="10"/>
      </w:r>
    </w:p>
    <w:p w14:paraId="0F77C803" w14:textId="51BC35E4" w:rsidR="00D8025C" w:rsidRPr="00D8025C" w:rsidRDefault="00D8025C" w:rsidP="00D8025C">
      <w:pPr>
        <w:rPr>
          <w:rStyle w:val="eop"/>
          <w:rFonts w:ascii="Calibri" w:hAnsi="Calibri" w:cs="Calibri"/>
          <w:color w:val="000000"/>
          <w:sz w:val="24"/>
          <w:szCs w:val="24"/>
          <w:shd w:val="clear" w:color="auto" w:fill="FFFFFF"/>
          <w:lang w:val="en-US"/>
        </w:rPr>
      </w:pPr>
      <w:r w:rsidRPr="00D8025C">
        <w:rPr>
          <w:rStyle w:val="eop"/>
          <w:rFonts w:ascii="Calibri" w:hAnsi="Calibri" w:cs="Calibri"/>
          <w:color w:val="000000"/>
          <w:sz w:val="24"/>
          <w:szCs w:val="24"/>
          <w:shd w:val="clear" w:color="auto" w:fill="FFFFFF"/>
          <w:lang w:val="en-US"/>
        </w:rPr>
        <w:t>According to the definition, appearance results from features. The words “in particular” shows that this list of features is not exhaustive.</w:t>
      </w:r>
      <w:r w:rsidRPr="00D8025C">
        <w:rPr>
          <w:rStyle w:val="FootnoteReference"/>
          <w:rFonts w:ascii="Calibri" w:hAnsi="Calibri" w:cs="Calibri"/>
          <w:color w:val="000000"/>
          <w:sz w:val="24"/>
          <w:szCs w:val="24"/>
          <w:shd w:val="clear" w:color="auto" w:fill="FFFFFF"/>
          <w:lang w:val="en-US"/>
        </w:rPr>
        <w:footnoteReference w:id="11"/>
      </w:r>
      <w:r w:rsidRPr="00D8025C">
        <w:rPr>
          <w:rStyle w:val="eop"/>
          <w:rFonts w:ascii="Calibri" w:hAnsi="Calibri" w:cs="Calibri"/>
          <w:color w:val="000000"/>
          <w:sz w:val="24"/>
          <w:szCs w:val="24"/>
          <w:shd w:val="clear" w:color="auto" w:fill="FFFFFF"/>
          <w:lang w:val="en-US"/>
        </w:rPr>
        <w:t xml:space="preserve"> Lines and contours probably has its ordinary meaning.</w:t>
      </w:r>
      <w:r w:rsidRPr="00D8025C">
        <w:rPr>
          <w:rStyle w:val="FootnoteReference"/>
          <w:rFonts w:ascii="Calibri" w:hAnsi="Calibri" w:cs="Calibri"/>
          <w:color w:val="000000"/>
          <w:sz w:val="24"/>
          <w:szCs w:val="24"/>
          <w:shd w:val="clear" w:color="auto" w:fill="FFFFFF"/>
          <w:lang w:val="en-US"/>
        </w:rPr>
        <w:footnoteReference w:id="12"/>
      </w:r>
      <w:r w:rsidRPr="00D8025C">
        <w:rPr>
          <w:rStyle w:val="eop"/>
          <w:rFonts w:ascii="Calibri" w:hAnsi="Calibri" w:cs="Calibri"/>
          <w:color w:val="000000"/>
          <w:sz w:val="24"/>
          <w:szCs w:val="24"/>
          <w:shd w:val="clear" w:color="auto" w:fill="FFFFFF"/>
          <w:lang w:val="en-US"/>
        </w:rPr>
        <w:t xml:space="preserve"> A </w:t>
      </w:r>
      <w:proofErr w:type="spellStart"/>
      <w:r w:rsidRPr="00D8025C">
        <w:rPr>
          <w:rStyle w:val="eop"/>
          <w:rFonts w:ascii="Calibri" w:hAnsi="Calibri" w:cs="Calibri"/>
          <w:color w:val="000000"/>
          <w:sz w:val="24"/>
          <w:szCs w:val="24"/>
          <w:shd w:val="clear" w:color="auto" w:fill="FFFFFF"/>
          <w:lang w:val="en-US"/>
        </w:rPr>
        <w:t>colour</w:t>
      </w:r>
      <w:proofErr w:type="spellEnd"/>
      <w:r w:rsidRPr="00D8025C">
        <w:rPr>
          <w:rStyle w:val="eop"/>
          <w:rFonts w:ascii="Calibri" w:hAnsi="Calibri" w:cs="Calibri"/>
          <w:color w:val="000000"/>
          <w:sz w:val="24"/>
          <w:szCs w:val="24"/>
          <w:shd w:val="clear" w:color="auto" w:fill="FFFFFF"/>
          <w:lang w:val="en-US"/>
        </w:rPr>
        <w:t xml:space="preserve"> per se cannot constitute a design. However, a combination of two </w:t>
      </w:r>
      <w:proofErr w:type="spellStart"/>
      <w:r w:rsidRPr="00D8025C">
        <w:rPr>
          <w:rStyle w:val="eop"/>
          <w:rFonts w:ascii="Calibri" w:hAnsi="Calibri" w:cs="Calibri"/>
          <w:color w:val="000000"/>
          <w:sz w:val="24"/>
          <w:szCs w:val="24"/>
          <w:shd w:val="clear" w:color="auto" w:fill="FFFFFF"/>
          <w:lang w:val="en-US"/>
        </w:rPr>
        <w:t>colours</w:t>
      </w:r>
      <w:proofErr w:type="spellEnd"/>
      <w:r w:rsidRPr="00D8025C">
        <w:rPr>
          <w:rStyle w:val="eop"/>
          <w:rFonts w:ascii="Calibri" w:hAnsi="Calibri" w:cs="Calibri"/>
          <w:color w:val="000000"/>
          <w:sz w:val="24"/>
          <w:szCs w:val="24"/>
          <w:shd w:val="clear" w:color="auto" w:fill="FFFFFF"/>
          <w:lang w:val="en-US"/>
        </w:rPr>
        <w:t xml:space="preserve"> forming a graphic symbol, for example, can be protected by design rights. Furthermore, a more complex combination of </w:t>
      </w:r>
      <w:proofErr w:type="spellStart"/>
      <w:r w:rsidRPr="00D8025C">
        <w:rPr>
          <w:rStyle w:val="eop"/>
          <w:rFonts w:ascii="Calibri" w:hAnsi="Calibri" w:cs="Calibri"/>
          <w:color w:val="000000"/>
          <w:sz w:val="24"/>
          <w:szCs w:val="24"/>
          <w:shd w:val="clear" w:color="auto" w:fill="FFFFFF"/>
          <w:lang w:val="en-US"/>
        </w:rPr>
        <w:t>colours</w:t>
      </w:r>
      <w:proofErr w:type="spellEnd"/>
      <w:r w:rsidRPr="00D8025C">
        <w:rPr>
          <w:rStyle w:val="eop"/>
          <w:rFonts w:ascii="Calibri" w:hAnsi="Calibri" w:cs="Calibri"/>
          <w:color w:val="000000"/>
          <w:sz w:val="24"/>
          <w:szCs w:val="24"/>
          <w:shd w:val="clear" w:color="auto" w:fill="FFFFFF"/>
          <w:lang w:val="en-US"/>
        </w:rPr>
        <w:t xml:space="preserve">, such as a pattern on a garment can be protected by design rights. If an application is drawn in black and white, it protects the use of the design in any color. If the image is colored the protection only extends to that specific </w:t>
      </w:r>
      <w:proofErr w:type="spellStart"/>
      <w:r w:rsidRPr="00D8025C">
        <w:rPr>
          <w:rStyle w:val="eop"/>
          <w:rFonts w:ascii="Calibri" w:hAnsi="Calibri" w:cs="Calibri"/>
          <w:color w:val="000000"/>
          <w:sz w:val="24"/>
          <w:szCs w:val="24"/>
          <w:shd w:val="clear" w:color="auto" w:fill="FFFFFF"/>
          <w:lang w:val="en-US"/>
        </w:rPr>
        <w:t>colour</w:t>
      </w:r>
      <w:proofErr w:type="spellEnd"/>
      <w:r w:rsidRPr="00D8025C">
        <w:rPr>
          <w:rStyle w:val="eop"/>
          <w:rFonts w:ascii="Calibri" w:hAnsi="Calibri" w:cs="Calibri"/>
          <w:color w:val="000000"/>
          <w:sz w:val="24"/>
          <w:szCs w:val="24"/>
          <w:shd w:val="clear" w:color="auto" w:fill="FFFFFF"/>
          <w:lang w:val="en-US"/>
        </w:rPr>
        <w:t>.</w:t>
      </w:r>
      <w:r w:rsidRPr="00D8025C">
        <w:rPr>
          <w:rStyle w:val="FootnoteReference"/>
          <w:rFonts w:ascii="Calibri" w:hAnsi="Calibri" w:cs="Calibri"/>
          <w:color w:val="000000"/>
          <w:sz w:val="24"/>
          <w:szCs w:val="24"/>
          <w:shd w:val="clear" w:color="auto" w:fill="FFFFFF"/>
          <w:lang w:val="en-US"/>
        </w:rPr>
        <w:footnoteReference w:id="13"/>
      </w:r>
      <w:r w:rsidRPr="00D8025C">
        <w:rPr>
          <w:rStyle w:val="eop"/>
          <w:rFonts w:ascii="Calibri" w:hAnsi="Calibri" w:cs="Calibri"/>
          <w:color w:val="000000"/>
          <w:sz w:val="24"/>
          <w:szCs w:val="24"/>
          <w:shd w:val="clear" w:color="auto" w:fill="FFFFFF"/>
          <w:lang w:val="en-US"/>
        </w:rPr>
        <w:t xml:space="preserve"> </w:t>
      </w:r>
      <w:commentRangeStart w:id="5"/>
      <w:r w:rsidRPr="00D8025C">
        <w:rPr>
          <w:rStyle w:val="eop"/>
          <w:rFonts w:ascii="Calibri" w:hAnsi="Calibri" w:cs="Calibri"/>
          <w:color w:val="000000"/>
          <w:sz w:val="24"/>
          <w:szCs w:val="24"/>
          <w:shd w:val="clear" w:color="auto" w:fill="FFFFFF"/>
          <w:lang w:val="en-US"/>
        </w:rPr>
        <w:t xml:space="preserve">Stone has hard to see </w:t>
      </w:r>
      <w:commentRangeEnd w:id="5"/>
      <w:r w:rsidR="00CD075F">
        <w:rPr>
          <w:rStyle w:val="CommentReference"/>
        </w:rPr>
        <w:commentReference w:id="5"/>
      </w:r>
      <w:r w:rsidRPr="00D8025C">
        <w:rPr>
          <w:rStyle w:val="eop"/>
          <w:rFonts w:ascii="Calibri" w:hAnsi="Calibri" w:cs="Calibri"/>
          <w:color w:val="000000"/>
          <w:sz w:val="24"/>
          <w:szCs w:val="24"/>
          <w:shd w:val="clear" w:color="auto" w:fill="FFFFFF"/>
          <w:lang w:val="en-US"/>
        </w:rPr>
        <w:t>that shape adds something to lines and contours.</w:t>
      </w:r>
      <w:r w:rsidRPr="00D8025C">
        <w:rPr>
          <w:rStyle w:val="FootnoteReference"/>
          <w:rFonts w:ascii="Calibri" w:hAnsi="Calibri" w:cs="Calibri"/>
          <w:color w:val="000000"/>
          <w:sz w:val="24"/>
          <w:szCs w:val="24"/>
          <w:shd w:val="clear" w:color="auto" w:fill="FFFFFF"/>
          <w:lang w:val="en-US"/>
        </w:rPr>
        <w:footnoteReference w:id="14"/>
      </w:r>
      <w:r w:rsidRPr="00D8025C">
        <w:rPr>
          <w:rStyle w:val="eop"/>
          <w:rFonts w:ascii="Calibri" w:hAnsi="Calibri" w:cs="Calibri"/>
          <w:color w:val="000000"/>
          <w:sz w:val="24"/>
          <w:szCs w:val="24"/>
          <w:shd w:val="clear" w:color="auto" w:fill="FFFFFF"/>
          <w:lang w:val="en-US"/>
        </w:rPr>
        <w:t xml:space="preserve"> Texture is interesting in relation to the fashion industry. In the Green Paper texture was said to protect how the product feels.</w:t>
      </w:r>
      <w:r w:rsidRPr="00D8025C">
        <w:rPr>
          <w:rStyle w:val="FootnoteReference"/>
          <w:rFonts w:ascii="Calibri" w:hAnsi="Calibri" w:cs="Calibri"/>
          <w:color w:val="000000"/>
          <w:sz w:val="24"/>
          <w:szCs w:val="24"/>
          <w:shd w:val="clear" w:color="auto" w:fill="FFFFFF"/>
          <w:lang w:val="en-US"/>
        </w:rPr>
        <w:footnoteReference w:id="15"/>
      </w:r>
      <w:r w:rsidRPr="00D8025C">
        <w:rPr>
          <w:rStyle w:val="eop"/>
          <w:rFonts w:ascii="Calibri" w:hAnsi="Calibri" w:cs="Calibri"/>
          <w:color w:val="000000"/>
          <w:sz w:val="24"/>
          <w:szCs w:val="24"/>
          <w:shd w:val="clear" w:color="auto" w:fill="FFFFFF"/>
          <w:lang w:val="en-US"/>
        </w:rPr>
        <w:t xml:space="preserve"> However, the Directive and the Regulation only protect the product's appearance. In other words, how the product is perceived visually. This means that only how the texture is perceived by the eyes is relevant, not how it feels.</w:t>
      </w:r>
      <w:r w:rsidRPr="00D8025C">
        <w:rPr>
          <w:rStyle w:val="FootnoteReference"/>
          <w:rFonts w:ascii="Calibri" w:hAnsi="Calibri" w:cs="Calibri"/>
          <w:color w:val="000000"/>
          <w:sz w:val="24"/>
          <w:szCs w:val="24"/>
          <w:shd w:val="clear" w:color="auto" w:fill="FFFFFF"/>
          <w:lang w:val="en-US"/>
        </w:rPr>
        <w:footnoteReference w:id="16"/>
      </w:r>
      <w:r w:rsidRPr="00D8025C">
        <w:rPr>
          <w:rStyle w:val="eop"/>
          <w:rFonts w:ascii="Calibri" w:hAnsi="Calibri" w:cs="Calibri"/>
          <w:color w:val="000000"/>
          <w:sz w:val="24"/>
          <w:szCs w:val="24"/>
          <w:shd w:val="clear" w:color="auto" w:fill="FFFFFF"/>
          <w:lang w:val="en-US"/>
        </w:rPr>
        <w:t xml:space="preserve"> It is the same with material as with texture, the material </w:t>
      </w:r>
      <w:r w:rsidR="00CD075F">
        <w:rPr>
          <w:rStyle w:val="eop"/>
          <w:rFonts w:ascii="Calibri" w:hAnsi="Calibri" w:cs="Calibri"/>
          <w:color w:val="000000"/>
          <w:sz w:val="24"/>
          <w:szCs w:val="24"/>
          <w:shd w:val="clear" w:color="auto" w:fill="FFFFFF"/>
          <w:lang w:val="en-US"/>
        </w:rPr>
        <w:t>must be</w:t>
      </w:r>
      <w:r w:rsidR="00CD075F" w:rsidRPr="00D8025C">
        <w:rPr>
          <w:rStyle w:val="eop"/>
          <w:rFonts w:ascii="Calibri" w:hAnsi="Calibri" w:cs="Calibri"/>
          <w:color w:val="000000"/>
          <w:sz w:val="24"/>
          <w:szCs w:val="24"/>
          <w:shd w:val="clear" w:color="auto" w:fill="FFFFFF"/>
          <w:lang w:val="en-US"/>
        </w:rPr>
        <w:t xml:space="preserve"> </w:t>
      </w:r>
      <w:r w:rsidRPr="00D8025C">
        <w:rPr>
          <w:rStyle w:val="eop"/>
          <w:rFonts w:ascii="Calibri" w:hAnsi="Calibri" w:cs="Calibri"/>
          <w:color w:val="000000"/>
          <w:sz w:val="24"/>
          <w:szCs w:val="24"/>
          <w:shd w:val="clear" w:color="auto" w:fill="FFFFFF"/>
          <w:lang w:val="en-US"/>
        </w:rPr>
        <w:t>a feature of the product that can be seen by the eyes. There is a proposal to change the definitions after the word texture to “materials of the product itself and/or its decoration, including the movement, transition or any other sort of animation of those features”.</w:t>
      </w:r>
      <w:r w:rsidRPr="00D8025C">
        <w:rPr>
          <w:rStyle w:val="FootnoteReference"/>
          <w:rFonts w:ascii="Calibri" w:hAnsi="Calibri" w:cs="Calibri"/>
          <w:color w:val="000000"/>
          <w:sz w:val="24"/>
          <w:szCs w:val="24"/>
          <w:shd w:val="clear" w:color="auto" w:fill="FFFFFF"/>
          <w:lang w:val="en-US"/>
        </w:rPr>
        <w:footnoteReference w:id="17"/>
      </w:r>
    </w:p>
    <w:p w14:paraId="07FE61DF" w14:textId="0D7020D6" w:rsidR="00134699" w:rsidRPr="00474FAB" w:rsidRDefault="00134699" w:rsidP="00134699">
      <w:pPr>
        <w:jc w:val="both"/>
        <w:rPr>
          <w:rFonts w:cstheme="minorHAnsi"/>
          <w:sz w:val="24"/>
          <w:szCs w:val="24"/>
          <w:lang w:val="en-US"/>
        </w:rPr>
      </w:pPr>
      <w:r w:rsidRPr="00474FAB">
        <w:rPr>
          <w:rFonts w:cstheme="minorHAnsi"/>
          <w:sz w:val="24"/>
          <w:szCs w:val="24"/>
          <w:lang w:val="en-US"/>
        </w:rPr>
        <w:t xml:space="preserve">Design, in the context of fashion, pertains to the appearance of products such as garments, shoes, </w:t>
      </w:r>
      <w:proofErr w:type="spellStart"/>
      <w:r w:rsidRPr="00474FAB">
        <w:rPr>
          <w:rFonts w:cstheme="minorHAnsi"/>
          <w:sz w:val="24"/>
          <w:szCs w:val="24"/>
          <w:lang w:val="en-US"/>
        </w:rPr>
        <w:t>jewellery</w:t>
      </w:r>
      <w:proofErr w:type="spellEnd"/>
      <w:r w:rsidRPr="00474FAB">
        <w:rPr>
          <w:rFonts w:cstheme="minorHAnsi"/>
          <w:sz w:val="24"/>
          <w:szCs w:val="24"/>
          <w:lang w:val="en-US"/>
        </w:rPr>
        <w:t>, and other related articles, including wearable technologies.</w:t>
      </w:r>
      <w:r w:rsidRPr="00474FAB">
        <w:rPr>
          <w:rStyle w:val="FootnoteReference"/>
          <w:rFonts w:cstheme="minorHAnsi"/>
          <w:sz w:val="24"/>
          <w:szCs w:val="24"/>
          <w:lang w:val="en-US"/>
        </w:rPr>
        <w:t xml:space="preserve"> </w:t>
      </w:r>
      <w:r w:rsidRPr="00474FAB">
        <w:rPr>
          <w:rStyle w:val="FootnoteReference"/>
          <w:rFonts w:cstheme="minorHAnsi"/>
          <w:sz w:val="24"/>
          <w:szCs w:val="24"/>
          <w:lang w:val="en-US"/>
        </w:rPr>
        <w:footnoteReference w:id="18"/>
      </w:r>
      <w:r w:rsidRPr="00474FAB">
        <w:rPr>
          <w:rFonts w:cstheme="minorHAnsi"/>
          <w:sz w:val="24"/>
          <w:szCs w:val="24"/>
          <w:lang w:val="en-US"/>
        </w:rPr>
        <w:t xml:space="preserve">  This can even extend to specific fabrics, like the knitted fabric made from recycled plastic used in a ballerina shoe.</w:t>
      </w:r>
      <w:r w:rsidRPr="00474FAB">
        <w:rPr>
          <w:rStyle w:val="FootnoteReference"/>
          <w:rFonts w:cstheme="minorHAnsi"/>
          <w:sz w:val="24"/>
          <w:szCs w:val="24"/>
          <w:lang w:val="en-US"/>
        </w:rPr>
        <w:t xml:space="preserve"> </w:t>
      </w:r>
      <w:r w:rsidRPr="00474FAB">
        <w:rPr>
          <w:rStyle w:val="FootnoteReference"/>
          <w:rFonts w:cstheme="minorHAnsi"/>
          <w:sz w:val="24"/>
          <w:szCs w:val="24"/>
          <w:lang w:val="en-US"/>
        </w:rPr>
        <w:footnoteReference w:id="19"/>
      </w:r>
      <w:r w:rsidRPr="00474FAB">
        <w:rPr>
          <w:rFonts w:cstheme="minorHAnsi"/>
          <w:sz w:val="24"/>
          <w:szCs w:val="24"/>
          <w:lang w:val="en-US"/>
        </w:rPr>
        <w:t xml:space="preserve"> </w:t>
      </w:r>
    </w:p>
    <w:p w14:paraId="1DD791C1" w14:textId="77777777" w:rsidR="00D8025C" w:rsidRPr="00D8025C" w:rsidRDefault="00D8025C" w:rsidP="00474FAB">
      <w:pPr>
        <w:jc w:val="both"/>
        <w:rPr>
          <w:rFonts w:cstheme="minorHAnsi"/>
          <w:sz w:val="24"/>
          <w:szCs w:val="24"/>
          <w:lang w:val="en-US"/>
        </w:rPr>
      </w:pPr>
    </w:p>
    <w:p w14:paraId="2680AC22" w14:textId="334FF26D" w:rsidR="001703F7" w:rsidRPr="00474FAB" w:rsidRDefault="001703F7" w:rsidP="001627EE">
      <w:pPr>
        <w:pStyle w:val="ListParagraph"/>
        <w:numPr>
          <w:ilvl w:val="0"/>
          <w:numId w:val="4"/>
        </w:numPr>
        <w:jc w:val="both"/>
        <w:rPr>
          <w:rFonts w:cstheme="minorHAnsi"/>
          <w:sz w:val="24"/>
          <w:szCs w:val="24"/>
          <w:lang w:val="en-US"/>
        </w:rPr>
      </w:pPr>
      <w:r w:rsidRPr="00474FAB">
        <w:rPr>
          <w:rFonts w:cstheme="minorHAnsi"/>
          <w:sz w:val="24"/>
          <w:szCs w:val="24"/>
          <w:lang w:val="en-US"/>
        </w:rPr>
        <w:t xml:space="preserve">Community and National Registered Design </w:t>
      </w:r>
    </w:p>
    <w:p w14:paraId="2393BE33" w14:textId="42CE742E" w:rsidR="00CF56BA" w:rsidRPr="00474FAB" w:rsidRDefault="00CF56BA" w:rsidP="001627EE">
      <w:pPr>
        <w:jc w:val="both"/>
        <w:rPr>
          <w:rFonts w:cstheme="minorHAnsi"/>
          <w:sz w:val="24"/>
          <w:szCs w:val="24"/>
          <w:lang w:val="en-US"/>
        </w:rPr>
      </w:pPr>
      <w:r w:rsidRPr="00474FAB">
        <w:rPr>
          <w:rFonts w:cstheme="minorHAnsi"/>
          <w:sz w:val="24"/>
          <w:szCs w:val="24"/>
          <w:lang w:val="en-US"/>
        </w:rPr>
        <w:t>The design law in the European Union (EU) is primarily governed by two Community instruments: the Council Regulation (EC) No 6/2002 on Community Designs (the Regulation),</w:t>
      </w:r>
      <w:r w:rsidR="00A10B3D" w:rsidRPr="00474FAB">
        <w:rPr>
          <w:rFonts w:cstheme="minorHAnsi"/>
          <w:sz w:val="24"/>
          <w:szCs w:val="24"/>
          <w:vertAlign w:val="superscript"/>
          <w:lang w:val="en-US"/>
        </w:rPr>
        <w:footnoteReference w:id="20"/>
      </w:r>
      <w:r w:rsidR="00A10B3D" w:rsidRPr="00474FAB">
        <w:rPr>
          <w:rFonts w:cstheme="minorHAnsi"/>
          <w:sz w:val="24"/>
          <w:szCs w:val="24"/>
          <w:lang w:val="en-US"/>
        </w:rPr>
        <w:t xml:space="preserve"> </w:t>
      </w:r>
      <w:r w:rsidRPr="00474FAB">
        <w:rPr>
          <w:rFonts w:cstheme="minorHAnsi"/>
          <w:sz w:val="24"/>
          <w:szCs w:val="24"/>
          <w:lang w:val="en-US"/>
        </w:rPr>
        <w:t>and the Directive 98/71/EC on the Legal Protection of Designs (the Directive).</w:t>
      </w:r>
      <w:r w:rsidR="00414E0E" w:rsidRPr="00474FAB">
        <w:rPr>
          <w:rStyle w:val="FootnoteReference"/>
          <w:rFonts w:cstheme="minorHAnsi"/>
          <w:sz w:val="24"/>
          <w:szCs w:val="24"/>
          <w:lang w:val="en-US"/>
        </w:rPr>
        <w:footnoteReference w:id="21"/>
      </w:r>
      <w:r w:rsidR="00414E0E" w:rsidRPr="00474FAB">
        <w:rPr>
          <w:rFonts w:cstheme="minorHAnsi"/>
          <w:sz w:val="24"/>
          <w:szCs w:val="24"/>
          <w:lang w:val="en-US"/>
        </w:rPr>
        <w:t xml:space="preserve"> </w:t>
      </w:r>
      <w:r w:rsidRPr="00474FAB">
        <w:rPr>
          <w:rFonts w:cstheme="minorHAnsi"/>
          <w:sz w:val="24"/>
          <w:szCs w:val="24"/>
          <w:lang w:val="en-US"/>
        </w:rPr>
        <w:t xml:space="preserve">These legal frameworks, which are substantially identical, aim to protect the 'aesthetic' and </w:t>
      </w:r>
      <w:r w:rsidRPr="00474FAB">
        <w:rPr>
          <w:rFonts w:cstheme="minorHAnsi"/>
          <w:sz w:val="24"/>
          <w:szCs w:val="24"/>
          <w:lang w:val="en-US"/>
        </w:rPr>
        <w:lastRenderedPageBreak/>
        <w:t>'ornamental' aspects of both 2D and 3D designs. They grant an exclusive right to use a design and prohibit third parties from using it without consent.</w:t>
      </w:r>
      <w:r w:rsidR="00414E0E" w:rsidRPr="00474FAB">
        <w:rPr>
          <w:rStyle w:val="FootnoteReference"/>
          <w:rFonts w:cstheme="minorHAnsi"/>
          <w:sz w:val="24"/>
          <w:szCs w:val="24"/>
          <w:lang w:val="en-US"/>
        </w:rPr>
        <w:t xml:space="preserve"> </w:t>
      </w:r>
      <w:r w:rsidR="00414E0E" w:rsidRPr="00474FAB">
        <w:rPr>
          <w:rStyle w:val="FootnoteReference"/>
          <w:rFonts w:cstheme="minorHAnsi"/>
          <w:sz w:val="24"/>
          <w:szCs w:val="24"/>
          <w:lang w:val="en-US"/>
        </w:rPr>
        <w:footnoteReference w:id="22"/>
      </w:r>
    </w:p>
    <w:p w14:paraId="5EFDD24B" w14:textId="394A1A95" w:rsidR="00CF56BA" w:rsidRPr="00474FAB" w:rsidRDefault="00CF56BA" w:rsidP="001627EE">
      <w:pPr>
        <w:jc w:val="both"/>
        <w:rPr>
          <w:rFonts w:cstheme="minorHAnsi"/>
          <w:sz w:val="24"/>
          <w:szCs w:val="24"/>
          <w:lang w:val="en-US"/>
        </w:rPr>
      </w:pPr>
      <w:r w:rsidRPr="00474FAB">
        <w:rPr>
          <w:rFonts w:cstheme="minorHAnsi"/>
          <w:sz w:val="24"/>
          <w:szCs w:val="24"/>
          <w:lang w:val="en-US"/>
        </w:rPr>
        <w:t>It</w:t>
      </w:r>
      <w:r w:rsidR="006D2455" w:rsidRPr="00474FAB">
        <w:rPr>
          <w:rFonts w:cstheme="minorHAnsi"/>
          <w:sz w:val="24"/>
          <w:szCs w:val="24"/>
          <w:lang w:val="en-US"/>
        </w:rPr>
        <w:t xml:space="preserve"> i</w:t>
      </w:r>
      <w:r w:rsidRPr="00474FAB">
        <w:rPr>
          <w:rFonts w:cstheme="minorHAnsi"/>
          <w:sz w:val="24"/>
          <w:szCs w:val="24"/>
          <w:lang w:val="en-US"/>
        </w:rPr>
        <w:t xml:space="preserve">s important to note that the EU is a member of the Hague Agreement. This agreement establishes an international system that allows industrial designs to be protected in multiple countries (or regions) with minimal formalities. </w:t>
      </w:r>
    </w:p>
    <w:p w14:paraId="301DBD2E" w14:textId="4C2E81D6" w:rsidR="00CF56BA" w:rsidRPr="00474FAB" w:rsidRDefault="00611372" w:rsidP="001627EE">
      <w:pPr>
        <w:jc w:val="both"/>
        <w:rPr>
          <w:rFonts w:cstheme="minorHAnsi"/>
          <w:sz w:val="24"/>
          <w:szCs w:val="24"/>
          <w:lang w:val="en-US"/>
        </w:rPr>
      </w:pPr>
      <w:r w:rsidRPr="00474FAB">
        <w:rPr>
          <w:rFonts w:cstheme="minorHAnsi"/>
          <w:sz w:val="24"/>
          <w:szCs w:val="24"/>
          <w:lang w:val="en-US"/>
        </w:rPr>
        <w:t>Fashion designs can be registered under the Community Design system, which offers protection across all EU member states with a single registration. This gives owners the power to enforce their rights uniformly across the EU</w:t>
      </w:r>
      <w:r w:rsidR="00CC5FBE" w:rsidRPr="00474FAB">
        <w:rPr>
          <w:rFonts w:cstheme="minorHAnsi"/>
          <w:sz w:val="24"/>
          <w:szCs w:val="24"/>
          <w:lang w:val="en-US"/>
        </w:rPr>
        <w:t xml:space="preserve"> as it has been </w:t>
      </w:r>
      <w:r w:rsidR="00BB7EF0" w:rsidRPr="00474FAB">
        <w:rPr>
          <w:rFonts w:cstheme="minorHAnsi"/>
          <w:sz w:val="24"/>
          <w:szCs w:val="24"/>
          <w:lang w:val="en-US"/>
        </w:rPr>
        <w:t>evaluated by</w:t>
      </w:r>
      <w:r w:rsidRPr="00474FAB">
        <w:rPr>
          <w:rFonts w:cstheme="minorHAnsi"/>
          <w:sz w:val="24"/>
          <w:szCs w:val="24"/>
          <w:lang w:val="en-US"/>
        </w:rPr>
        <w:t xml:space="preserve"> Church</w:t>
      </w:r>
      <w:r w:rsidR="00BB7EF0" w:rsidRPr="00474FAB">
        <w:rPr>
          <w:rFonts w:cstheme="minorHAnsi"/>
          <w:sz w:val="24"/>
          <w:szCs w:val="24"/>
          <w:lang w:val="en-US"/>
        </w:rPr>
        <w:t xml:space="preserve"> and others</w:t>
      </w:r>
      <w:r w:rsidRPr="00474FAB">
        <w:rPr>
          <w:rFonts w:cstheme="minorHAnsi"/>
          <w:sz w:val="24"/>
          <w:szCs w:val="24"/>
          <w:lang w:val="en-US"/>
        </w:rPr>
        <w:t xml:space="preserve">, </w:t>
      </w:r>
      <w:r w:rsidR="00BB7EF0" w:rsidRPr="00474FAB">
        <w:rPr>
          <w:rFonts w:cstheme="minorHAnsi"/>
          <w:sz w:val="24"/>
          <w:szCs w:val="24"/>
          <w:lang w:val="en-US"/>
        </w:rPr>
        <w:t xml:space="preserve">who </w:t>
      </w:r>
      <w:r w:rsidRPr="00474FAB">
        <w:rPr>
          <w:rFonts w:cstheme="minorHAnsi"/>
          <w:sz w:val="24"/>
          <w:szCs w:val="24"/>
          <w:lang w:val="en-US"/>
        </w:rPr>
        <w:t>examined over 1,000 design cases across the EU member states.</w:t>
      </w:r>
      <w:r w:rsidR="000B4575">
        <w:rPr>
          <w:rStyle w:val="FootnoteReference"/>
          <w:rFonts w:cstheme="minorHAnsi"/>
          <w:sz w:val="24"/>
          <w:szCs w:val="24"/>
          <w:lang w:val="en-US"/>
        </w:rPr>
        <w:footnoteReference w:id="23"/>
      </w:r>
      <w:r w:rsidRPr="00474FAB">
        <w:rPr>
          <w:rFonts w:cstheme="minorHAnsi"/>
          <w:sz w:val="24"/>
          <w:szCs w:val="24"/>
          <w:lang w:val="en-US"/>
        </w:rPr>
        <w:t xml:space="preserve"> They found that in the first 15 years since the EU design law was enforced, it has been effective. Designs were more likely to be found infringed (63.5% of the cases studied) than not infringed (36.5% of the cases studied).</w:t>
      </w:r>
      <w:r w:rsidR="00D461B7" w:rsidRPr="00474FAB">
        <w:rPr>
          <w:rStyle w:val="FootnoteReference"/>
          <w:rFonts w:cstheme="minorHAnsi"/>
          <w:sz w:val="24"/>
          <w:szCs w:val="24"/>
          <w:lang w:val="en-US"/>
        </w:rPr>
        <w:t xml:space="preserve"> </w:t>
      </w:r>
      <w:r w:rsidR="00D461B7" w:rsidRPr="00474FAB">
        <w:rPr>
          <w:rStyle w:val="FootnoteReference"/>
          <w:rFonts w:cstheme="minorHAnsi"/>
          <w:sz w:val="24"/>
          <w:szCs w:val="24"/>
          <w:lang w:val="en-US"/>
        </w:rPr>
        <w:footnoteReference w:id="24"/>
      </w:r>
    </w:p>
    <w:p w14:paraId="0372ACB2" w14:textId="56AB545F" w:rsidR="00B218BA" w:rsidRPr="00474FAB" w:rsidRDefault="00B218BA" w:rsidP="001627EE">
      <w:pPr>
        <w:jc w:val="both"/>
        <w:rPr>
          <w:rFonts w:cstheme="minorHAnsi"/>
          <w:sz w:val="24"/>
          <w:szCs w:val="24"/>
        </w:rPr>
      </w:pPr>
      <w:r w:rsidRPr="00474FAB">
        <w:rPr>
          <w:rFonts w:cstheme="minorHAnsi"/>
          <w:sz w:val="24"/>
          <w:szCs w:val="24"/>
        </w:rPr>
        <w:t xml:space="preserve">The Community Design registration in the European Union has some unique characteristics. Unlike </w:t>
      </w:r>
      <w:r w:rsidR="001D5840" w:rsidRPr="00474FAB">
        <w:rPr>
          <w:rFonts w:cstheme="minorHAnsi"/>
          <w:sz w:val="24"/>
          <w:szCs w:val="24"/>
        </w:rPr>
        <w:t xml:space="preserve">some of the </w:t>
      </w:r>
      <w:r w:rsidRPr="00474FAB">
        <w:rPr>
          <w:rFonts w:cstheme="minorHAnsi"/>
          <w:sz w:val="24"/>
          <w:szCs w:val="24"/>
        </w:rPr>
        <w:t xml:space="preserve">national registrations, it is </w:t>
      </w:r>
      <w:r w:rsidR="00457DF0">
        <w:rPr>
          <w:rFonts w:cstheme="minorHAnsi"/>
          <w:sz w:val="24"/>
          <w:szCs w:val="24"/>
        </w:rPr>
        <w:t xml:space="preserve">subject only to formal </w:t>
      </w:r>
      <w:r w:rsidR="00B1312D">
        <w:rPr>
          <w:rFonts w:cstheme="minorHAnsi"/>
          <w:sz w:val="24"/>
          <w:szCs w:val="24"/>
        </w:rPr>
        <w:t xml:space="preserve">examination </w:t>
      </w:r>
      <w:r w:rsidRPr="00474FAB">
        <w:rPr>
          <w:rFonts w:cstheme="minorHAnsi"/>
          <w:sz w:val="24"/>
          <w:szCs w:val="24"/>
        </w:rPr>
        <w:t>by the European Union Intellectual Property Office (EUIPO), and there is no opposition period. This makes the registration process relatively quick, with approvals even possible on the same day.</w:t>
      </w:r>
      <w:r w:rsidR="001D5840" w:rsidRPr="00474FAB">
        <w:rPr>
          <w:rStyle w:val="FootnoteReference"/>
          <w:rFonts w:cstheme="minorHAnsi"/>
          <w:sz w:val="24"/>
          <w:szCs w:val="24"/>
          <w:lang w:val="en-US"/>
        </w:rPr>
        <w:footnoteReference w:id="25"/>
      </w:r>
      <w:r w:rsidR="002E55C9" w:rsidRPr="00474FAB">
        <w:rPr>
          <w:rFonts w:cstheme="minorHAnsi"/>
          <w:sz w:val="24"/>
          <w:szCs w:val="24"/>
        </w:rPr>
        <w:t xml:space="preserve"> Another peculiarity is that a </w:t>
      </w:r>
      <w:r w:rsidRPr="00474FAB">
        <w:rPr>
          <w:rFonts w:cstheme="minorHAnsi"/>
          <w:sz w:val="24"/>
          <w:szCs w:val="24"/>
        </w:rPr>
        <w:t>single application can include up to 99 designs, provided they belong to the same Locarno class.</w:t>
      </w:r>
      <w:r w:rsidR="00D007FA" w:rsidRPr="00474FAB">
        <w:rPr>
          <w:rStyle w:val="FootnoteReference"/>
          <w:rFonts w:cstheme="minorHAnsi"/>
          <w:sz w:val="24"/>
          <w:szCs w:val="24"/>
          <w:lang w:val="en-US"/>
        </w:rPr>
        <w:footnoteReference w:id="26"/>
      </w:r>
      <w:r w:rsidR="00D007FA" w:rsidRPr="00474FAB">
        <w:rPr>
          <w:rFonts w:cstheme="minorHAnsi"/>
          <w:sz w:val="24"/>
          <w:szCs w:val="24"/>
        </w:rPr>
        <w:t xml:space="preserve"> </w:t>
      </w:r>
      <w:r w:rsidRPr="00474FAB">
        <w:rPr>
          <w:rFonts w:cstheme="minorHAnsi"/>
          <w:sz w:val="24"/>
          <w:szCs w:val="24"/>
        </w:rPr>
        <w:t>However, design protection is not limited to designs within these classes.</w:t>
      </w:r>
      <w:r w:rsidR="00D007FA" w:rsidRPr="00474FAB">
        <w:rPr>
          <w:rStyle w:val="FootnoteReference"/>
          <w:rFonts w:cstheme="minorHAnsi"/>
          <w:sz w:val="24"/>
          <w:szCs w:val="24"/>
          <w:lang w:val="en-US"/>
        </w:rPr>
        <w:t xml:space="preserve"> </w:t>
      </w:r>
      <w:r w:rsidR="00D007FA" w:rsidRPr="00474FAB">
        <w:rPr>
          <w:rStyle w:val="FootnoteReference"/>
          <w:rFonts w:cstheme="minorHAnsi"/>
          <w:sz w:val="24"/>
          <w:szCs w:val="24"/>
          <w:lang w:val="en-US"/>
        </w:rPr>
        <w:footnoteReference w:id="27"/>
      </w:r>
      <w:r w:rsidR="000E652F" w:rsidRPr="00474FAB">
        <w:rPr>
          <w:rFonts w:cstheme="minorHAnsi"/>
          <w:sz w:val="24"/>
          <w:szCs w:val="24"/>
          <w:lang w:val="en-US"/>
        </w:rPr>
        <w:t xml:space="preserve"> A </w:t>
      </w:r>
      <w:r w:rsidR="000E652F" w:rsidRPr="00474FAB">
        <w:rPr>
          <w:rFonts w:cstheme="minorHAnsi"/>
          <w:sz w:val="24"/>
          <w:szCs w:val="24"/>
        </w:rPr>
        <w:t>characteristic that is distinctive is that the</w:t>
      </w:r>
      <w:r w:rsidRPr="00474FAB">
        <w:rPr>
          <w:rFonts w:cstheme="minorHAnsi"/>
          <w:sz w:val="24"/>
          <w:szCs w:val="24"/>
        </w:rPr>
        <w:t xml:space="preserve"> Community legislation allows for the ‘cumulative doctrine’,</w:t>
      </w:r>
      <w:r w:rsidR="00E95DB7" w:rsidRPr="00474FAB">
        <w:rPr>
          <w:rStyle w:val="FootnoteReference"/>
          <w:rFonts w:cstheme="minorHAnsi"/>
          <w:sz w:val="24"/>
          <w:szCs w:val="24"/>
          <w:lang w:val="en-US"/>
        </w:rPr>
        <w:t xml:space="preserve"> </w:t>
      </w:r>
      <w:r w:rsidR="00E95DB7" w:rsidRPr="00474FAB">
        <w:rPr>
          <w:rStyle w:val="FootnoteReference"/>
          <w:rFonts w:cstheme="minorHAnsi"/>
          <w:sz w:val="24"/>
          <w:szCs w:val="24"/>
          <w:lang w:val="en-US"/>
        </w:rPr>
        <w:footnoteReference w:id="28"/>
      </w:r>
      <w:r w:rsidRPr="00474FAB">
        <w:rPr>
          <w:rFonts w:cstheme="minorHAnsi"/>
          <w:sz w:val="24"/>
          <w:szCs w:val="24"/>
        </w:rPr>
        <w:t xml:space="preserve"> which means copyright and design protection can be combined - a practice previously disallowed by some EU member states.</w:t>
      </w:r>
      <w:r w:rsidR="005E5BD9" w:rsidRPr="00474FAB">
        <w:rPr>
          <w:rStyle w:val="FootnoteReference"/>
          <w:rFonts w:cstheme="minorHAnsi"/>
          <w:sz w:val="24"/>
          <w:szCs w:val="24"/>
          <w:lang w:val="en-US"/>
        </w:rPr>
        <w:t xml:space="preserve"> </w:t>
      </w:r>
      <w:r w:rsidR="005E5BD9" w:rsidRPr="00474FAB">
        <w:rPr>
          <w:rStyle w:val="FootnoteReference"/>
          <w:rFonts w:cstheme="minorHAnsi"/>
          <w:sz w:val="24"/>
          <w:szCs w:val="24"/>
          <w:lang w:val="en-US"/>
        </w:rPr>
        <w:footnoteReference w:id="29"/>
      </w:r>
      <w:r w:rsidRPr="00474FAB">
        <w:rPr>
          <w:rFonts w:cstheme="minorHAnsi"/>
          <w:sz w:val="24"/>
          <w:szCs w:val="24"/>
        </w:rPr>
        <w:t xml:space="preserve"> This cumulation is also possible between registered and unregistered designs, as well as other intellectual property rights such as patents and </w:t>
      </w:r>
      <w:proofErr w:type="spellStart"/>
      <w:r w:rsidRPr="00474FAB">
        <w:rPr>
          <w:rFonts w:cstheme="minorHAnsi"/>
          <w:sz w:val="24"/>
          <w:szCs w:val="24"/>
        </w:rPr>
        <w:t>trade</w:t>
      </w:r>
      <w:r w:rsidR="00E95DB7" w:rsidRPr="00474FAB">
        <w:rPr>
          <w:rFonts w:cstheme="minorHAnsi"/>
          <w:sz w:val="24"/>
          <w:szCs w:val="24"/>
        </w:rPr>
        <w:t xml:space="preserve"> </w:t>
      </w:r>
      <w:r w:rsidRPr="00474FAB">
        <w:rPr>
          <w:rFonts w:cstheme="minorHAnsi"/>
          <w:sz w:val="24"/>
          <w:szCs w:val="24"/>
        </w:rPr>
        <w:t>marks</w:t>
      </w:r>
      <w:proofErr w:type="spellEnd"/>
      <w:r w:rsidRPr="00474FAB">
        <w:rPr>
          <w:rFonts w:cstheme="minorHAnsi"/>
          <w:sz w:val="24"/>
          <w:szCs w:val="24"/>
        </w:rPr>
        <w:t>.</w:t>
      </w:r>
      <w:r w:rsidR="005E5BD9" w:rsidRPr="00474FAB">
        <w:rPr>
          <w:rStyle w:val="FootnoteReference"/>
          <w:rFonts w:cstheme="minorHAnsi"/>
          <w:sz w:val="24"/>
          <w:szCs w:val="24"/>
          <w:lang w:val="en-US"/>
        </w:rPr>
        <w:t xml:space="preserve"> </w:t>
      </w:r>
      <w:r w:rsidR="005E5BD9" w:rsidRPr="00474FAB">
        <w:rPr>
          <w:rStyle w:val="FootnoteReference"/>
          <w:rFonts w:cstheme="minorHAnsi"/>
          <w:sz w:val="24"/>
          <w:szCs w:val="24"/>
          <w:lang w:val="en-US"/>
        </w:rPr>
        <w:footnoteReference w:id="30"/>
      </w:r>
      <w:r w:rsidR="00CB2BA1" w:rsidRPr="00474FAB">
        <w:rPr>
          <w:rFonts w:cstheme="minorHAnsi"/>
          <w:sz w:val="24"/>
          <w:szCs w:val="24"/>
          <w:lang w:val="en-US"/>
        </w:rPr>
        <w:t xml:space="preserve"> H</w:t>
      </w:r>
      <w:r w:rsidRPr="00474FAB">
        <w:rPr>
          <w:rFonts w:cstheme="minorHAnsi"/>
          <w:sz w:val="24"/>
          <w:szCs w:val="24"/>
        </w:rPr>
        <w:t>owever, if a design has entered the public domain due to the term of protection expiring, it cannot be registered or protected under design law as it would not meet the novelty requirement.</w:t>
      </w:r>
      <w:r w:rsidR="00CB2BA1" w:rsidRPr="00474FAB">
        <w:rPr>
          <w:rFonts w:cstheme="minorHAnsi"/>
          <w:sz w:val="24"/>
          <w:szCs w:val="24"/>
          <w:vertAlign w:val="superscript"/>
          <w:lang w:val="en-US"/>
        </w:rPr>
        <w:t xml:space="preserve"> </w:t>
      </w:r>
      <w:r w:rsidR="00CB2BA1" w:rsidRPr="00474FAB">
        <w:rPr>
          <w:rFonts w:cstheme="minorHAnsi"/>
          <w:sz w:val="24"/>
          <w:szCs w:val="24"/>
          <w:vertAlign w:val="superscript"/>
          <w:lang w:val="en-US"/>
        </w:rPr>
        <w:footnoteReference w:id="31"/>
      </w:r>
      <w:r w:rsidR="0036653D" w:rsidRPr="00474FAB">
        <w:rPr>
          <w:rFonts w:cstheme="minorHAnsi"/>
          <w:sz w:val="24"/>
          <w:szCs w:val="24"/>
          <w:vertAlign w:val="superscript"/>
          <w:lang w:val="en-US"/>
        </w:rPr>
        <w:t xml:space="preserve"> </w:t>
      </w:r>
      <w:r w:rsidRPr="00474FAB">
        <w:rPr>
          <w:rFonts w:cstheme="minorHAnsi"/>
          <w:sz w:val="24"/>
          <w:szCs w:val="24"/>
        </w:rPr>
        <w:t>The initial term of protection for registered designs is five years from the date of filing, and this can be renewed up to 25 years, provided renewal fees are paid every five years.</w:t>
      </w:r>
      <w:r w:rsidR="0036653D" w:rsidRPr="00474FAB">
        <w:rPr>
          <w:rStyle w:val="FootnoteReference"/>
          <w:rFonts w:cstheme="minorHAnsi"/>
          <w:sz w:val="24"/>
          <w:szCs w:val="24"/>
          <w:lang w:val="en-US"/>
        </w:rPr>
        <w:t xml:space="preserve"> </w:t>
      </w:r>
      <w:r w:rsidR="0036653D" w:rsidRPr="00474FAB">
        <w:rPr>
          <w:rStyle w:val="FootnoteReference"/>
          <w:rFonts w:cstheme="minorHAnsi"/>
          <w:sz w:val="24"/>
          <w:szCs w:val="24"/>
          <w:lang w:val="en-US"/>
        </w:rPr>
        <w:footnoteReference w:id="32"/>
      </w:r>
    </w:p>
    <w:p w14:paraId="6157D53F" w14:textId="3D90991F" w:rsidR="00B218BA" w:rsidRPr="00474FAB" w:rsidRDefault="00B218BA" w:rsidP="001627EE">
      <w:pPr>
        <w:jc w:val="both"/>
        <w:rPr>
          <w:rFonts w:cstheme="minorHAnsi"/>
          <w:sz w:val="24"/>
          <w:szCs w:val="24"/>
        </w:rPr>
      </w:pPr>
      <w:r w:rsidRPr="00474FAB">
        <w:rPr>
          <w:rFonts w:cstheme="minorHAnsi"/>
          <w:sz w:val="24"/>
          <w:szCs w:val="24"/>
        </w:rPr>
        <w:lastRenderedPageBreak/>
        <w:t>The next section of the text evaluate</w:t>
      </w:r>
      <w:r w:rsidR="0036653D" w:rsidRPr="00474FAB">
        <w:rPr>
          <w:rFonts w:cstheme="minorHAnsi"/>
          <w:sz w:val="24"/>
          <w:szCs w:val="24"/>
        </w:rPr>
        <w:t>s</w:t>
      </w:r>
      <w:r w:rsidRPr="00474FAB">
        <w:rPr>
          <w:rFonts w:cstheme="minorHAnsi"/>
          <w:sz w:val="24"/>
          <w:szCs w:val="24"/>
        </w:rPr>
        <w:t xml:space="preserve"> the requirements for registration.</w:t>
      </w:r>
    </w:p>
    <w:p w14:paraId="31585637" w14:textId="710BF11E" w:rsidR="001703F7" w:rsidRPr="00474FAB" w:rsidRDefault="00654882" w:rsidP="001627EE">
      <w:pPr>
        <w:pStyle w:val="ListParagraph"/>
        <w:numPr>
          <w:ilvl w:val="1"/>
          <w:numId w:val="4"/>
        </w:numPr>
        <w:jc w:val="both"/>
        <w:rPr>
          <w:rFonts w:cstheme="minorHAnsi"/>
          <w:sz w:val="24"/>
          <w:szCs w:val="24"/>
          <w:lang w:val="en-US"/>
        </w:rPr>
      </w:pPr>
      <w:r w:rsidRPr="00474FAB">
        <w:rPr>
          <w:rFonts w:cstheme="minorHAnsi"/>
          <w:sz w:val="24"/>
          <w:szCs w:val="24"/>
          <w:lang w:val="en-US"/>
        </w:rPr>
        <w:t>N</w:t>
      </w:r>
      <w:r w:rsidR="001703F7" w:rsidRPr="00474FAB">
        <w:rPr>
          <w:rFonts w:cstheme="minorHAnsi"/>
          <w:sz w:val="24"/>
          <w:szCs w:val="24"/>
          <w:lang w:val="en-US"/>
        </w:rPr>
        <w:t xml:space="preserve">ovelty and individual character </w:t>
      </w:r>
    </w:p>
    <w:p w14:paraId="24F17C33" w14:textId="76A0F4A4" w:rsidR="000174D3" w:rsidRPr="00474FAB" w:rsidRDefault="000174D3" w:rsidP="000174D3">
      <w:pPr>
        <w:jc w:val="both"/>
        <w:rPr>
          <w:rFonts w:cstheme="minorHAnsi"/>
          <w:sz w:val="24"/>
          <w:szCs w:val="24"/>
          <w:lang w:val="en-US"/>
        </w:rPr>
      </w:pPr>
      <w:r w:rsidRPr="00474FAB">
        <w:rPr>
          <w:rFonts w:cstheme="minorHAnsi"/>
          <w:sz w:val="24"/>
          <w:szCs w:val="24"/>
          <w:lang w:val="en-US"/>
        </w:rPr>
        <w:t>The registration of a design requires it to be novel and possess an individual character.</w:t>
      </w:r>
      <w:r w:rsidR="00033B20" w:rsidRPr="00474FAB">
        <w:rPr>
          <w:rStyle w:val="FootnoteReference"/>
          <w:rFonts w:cstheme="minorHAnsi"/>
          <w:i/>
          <w:iCs/>
          <w:sz w:val="24"/>
          <w:szCs w:val="24"/>
          <w:lang w:val="en-US"/>
        </w:rPr>
        <w:t xml:space="preserve"> </w:t>
      </w:r>
      <w:r w:rsidR="00033B20" w:rsidRPr="00474FAB">
        <w:rPr>
          <w:rStyle w:val="FootnoteReference"/>
          <w:rFonts w:cstheme="minorHAnsi"/>
          <w:sz w:val="24"/>
          <w:szCs w:val="24"/>
          <w:lang w:val="en-US"/>
        </w:rPr>
        <w:footnoteReference w:id="33"/>
      </w:r>
      <w:r w:rsidRPr="00474FAB">
        <w:rPr>
          <w:rFonts w:cstheme="minorHAnsi"/>
          <w:sz w:val="24"/>
          <w:szCs w:val="24"/>
          <w:lang w:val="en-US"/>
        </w:rPr>
        <w:t xml:space="preserve"> This includes 'complex products',</w:t>
      </w:r>
      <w:r w:rsidR="00895BE8" w:rsidRPr="00474FAB">
        <w:rPr>
          <w:rFonts w:cstheme="minorHAnsi"/>
          <w:sz w:val="24"/>
          <w:szCs w:val="24"/>
          <w:vertAlign w:val="superscript"/>
          <w:lang w:val="en-US"/>
        </w:rPr>
        <w:t xml:space="preserve"> </w:t>
      </w:r>
      <w:r w:rsidR="00895BE8" w:rsidRPr="00474FAB">
        <w:rPr>
          <w:rFonts w:cstheme="minorHAnsi"/>
          <w:sz w:val="24"/>
          <w:szCs w:val="24"/>
          <w:vertAlign w:val="superscript"/>
          <w:lang w:val="en-US"/>
        </w:rPr>
        <w:footnoteReference w:id="34"/>
      </w:r>
      <w:r w:rsidRPr="00474FAB">
        <w:rPr>
          <w:rFonts w:cstheme="minorHAnsi"/>
          <w:sz w:val="24"/>
          <w:szCs w:val="24"/>
          <w:lang w:val="en-US"/>
        </w:rPr>
        <w:t xml:space="preserve"> where each part </w:t>
      </w:r>
      <w:r w:rsidR="00CD075F">
        <w:rPr>
          <w:rFonts w:cstheme="minorHAnsi"/>
          <w:sz w:val="24"/>
          <w:szCs w:val="24"/>
          <w:lang w:val="en-US"/>
        </w:rPr>
        <w:t xml:space="preserve">that is to be individually protected </w:t>
      </w:r>
      <w:r w:rsidRPr="00474FAB">
        <w:rPr>
          <w:rFonts w:cstheme="minorHAnsi"/>
          <w:sz w:val="24"/>
          <w:szCs w:val="24"/>
          <w:lang w:val="en-US"/>
        </w:rPr>
        <w:t>must also meet these criteria.</w:t>
      </w:r>
      <w:r w:rsidR="00697830" w:rsidRPr="00474FAB">
        <w:rPr>
          <w:rFonts w:cstheme="minorHAnsi"/>
          <w:sz w:val="24"/>
          <w:szCs w:val="24"/>
          <w:vertAlign w:val="superscript"/>
          <w:lang w:val="en-US"/>
        </w:rPr>
        <w:t xml:space="preserve"> </w:t>
      </w:r>
      <w:r w:rsidR="00697830" w:rsidRPr="00474FAB">
        <w:rPr>
          <w:rFonts w:cstheme="minorHAnsi"/>
          <w:sz w:val="24"/>
          <w:szCs w:val="24"/>
          <w:vertAlign w:val="superscript"/>
          <w:lang w:val="en-US"/>
        </w:rPr>
        <w:footnoteReference w:id="35"/>
      </w:r>
      <w:r w:rsidR="00697830" w:rsidRPr="00474FAB">
        <w:rPr>
          <w:rFonts w:cstheme="minorHAnsi"/>
          <w:sz w:val="24"/>
          <w:szCs w:val="24"/>
          <w:lang w:val="en-US"/>
        </w:rPr>
        <w:t xml:space="preserve"> </w:t>
      </w:r>
      <w:r w:rsidRPr="00474FAB">
        <w:rPr>
          <w:rFonts w:cstheme="minorHAnsi"/>
          <w:sz w:val="24"/>
          <w:szCs w:val="24"/>
          <w:lang w:val="en-US"/>
        </w:rPr>
        <w:t>These aspects are typically addressed during invalidity proceedings or counterclaim in infringement proceedings, rather than during the application process.</w:t>
      </w:r>
      <w:r w:rsidR="00F90067" w:rsidRPr="00474FAB">
        <w:rPr>
          <w:rStyle w:val="FootnoteReference"/>
          <w:rFonts w:cstheme="minorHAnsi"/>
          <w:sz w:val="24"/>
          <w:szCs w:val="24"/>
          <w:lang w:val="en-US"/>
        </w:rPr>
        <w:footnoteReference w:id="36"/>
      </w:r>
    </w:p>
    <w:p w14:paraId="478FCA8A" w14:textId="7147C1A6" w:rsidR="000174D3" w:rsidRPr="00474FAB" w:rsidRDefault="008859F9" w:rsidP="000174D3">
      <w:pPr>
        <w:jc w:val="both"/>
        <w:rPr>
          <w:rFonts w:cstheme="minorHAnsi"/>
          <w:sz w:val="24"/>
          <w:szCs w:val="24"/>
          <w:lang w:val="en-US"/>
        </w:rPr>
      </w:pPr>
      <w:r w:rsidRPr="00474FAB">
        <w:rPr>
          <w:rFonts w:cstheme="minorHAnsi"/>
          <w:sz w:val="24"/>
          <w:szCs w:val="24"/>
          <w:lang w:val="en-US"/>
        </w:rPr>
        <w:t>The</w:t>
      </w:r>
      <w:r w:rsidR="00F733C9">
        <w:rPr>
          <w:rFonts w:cstheme="minorHAnsi"/>
          <w:sz w:val="24"/>
          <w:szCs w:val="24"/>
          <w:lang w:val="en-US"/>
        </w:rPr>
        <w:t>se</w:t>
      </w:r>
      <w:r w:rsidRPr="00474FAB">
        <w:rPr>
          <w:rFonts w:cstheme="minorHAnsi"/>
          <w:sz w:val="24"/>
          <w:szCs w:val="24"/>
          <w:lang w:val="en-US"/>
        </w:rPr>
        <w:t xml:space="preserve"> criteria </w:t>
      </w:r>
      <w:r w:rsidR="00FB644F" w:rsidRPr="00474FAB">
        <w:rPr>
          <w:rFonts w:cstheme="minorHAnsi"/>
          <w:sz w:val="24"/>
          <w:szCs w:val="24"/>
          <w:lang w:val="en-US"/>
        </w:rPr>
        <w:t>appl</w:t>
      </w:r>
      <w:r w:rsidR="00F733C9">
        <w:rPr>
          <w:rFonts w:cstheme="minorHAnsi"/>
          <w:sz w:val="24"/>
          <w:szCs w:val="24"/>
          <w:lang w:val="en-US"/>
        </w:rPr>
        <w:t>y</w:t>
      </w:r>
      <w:r w:rsidR="00FB644F" w:rsidRPr="00474FAB">
        <w:rPr>
          <w:rFonts w:cstheme="minorHAnsi"/>
          <w:sz w:val="24"/>
          <w:szCs w:val="24"/>
          <w:lang w:val="en-US"/>
        </w:rPr>
        <w:t xml:space="preserve"> to the </w:t>
      </w:r>
      <w:r w:rsidR="000174D3" w:rsidRPr="00474FAB">
        <w:rPr>
          <w:rFonts w:cstheme="minorHAnsi"/>
          <w:sz w:val="24"/>
          <w:szCs w:val="24"/>
          <w:lang w:val="en-US"/>
        </w:rPr>
        <w:t>design</w:t>
      </w:r>
      <w:r w:rsidR="00FB644F" w:rsidRPr="00474FAB">
        <w:rPr>
          <w:rFonts w:cstheme="minorHAnsi"/>
          <w:sz w:val="24"/>
          <w:szCs w:val="24"/>
          <w:lang w:val="en-US"/>
        </w:rPr>
        <w:t xml:space="preserve"> which</w:t>
      </w:r>
      <w:r w:rsidR="000174D3" w:rsidRPr="00474FAB">
        <w:rPr>
          <w:rFonts w:cstheme="minorHAnsi"/>
          <w:sz w:val="24"/>
          <w:szCs w:val="24"/>
          <w:lang w:val="en-US"/>
        </w:rPr>
        <w:t xml:space="preserve"> must be visible during the normal use of the product, at least some of the time</w:t>
      </w:r>
      <w:r w:rsidR="00791A43" w:rsidRPr="00474FAB">
        <w:rPr>
          <w:rFonts w:cstheme="minorHAnsi"/>
          <w:sz w:val="24"/>
          <w:szCs w:val="24"/>
          <w:vertAlign w:val="superscript"/>
          <w:lang w:val="en-US"/>
        </w:rPr>
        <w:t xml:space="preserve"> </w:t>
      </w:r>
      <w:r w:rsidR="00791A43" w:rsidRPr="00474FAB">
        <w:rPr>
          <w:rFonts w:cstheme="minorHAnsi"/>
          <w:sz w:val="24"/>
          <w:szCs w:val="24"/>
          <w:vertAlign w:val="superscript"/>
          <w:lang w:val="en-US"/>
        </w:rPr>
        <w:footnoteReference w:id="37"/>
      </w:r>
      <w:r w:rsidR="00791A43" w:rsidRPr="00474FAB">
        <w:rPr>
          <w:rFonts w:cstheme="minorHAnsi"/>
          <w:sz w:val="24"/>
          <w:szCs w:val="24"/>
          <w:vertAlign w:val="superscript"/>
          <w:lang w:val="en-US"/>
        </w:rPr>
        <w:t xml:space="preserve"> </w:t>
      </w:r>
      <w:r w:rsidR="00FB644F" w:rsidRPr="00474FAB">
        <w:rPr>
          <w:rFonts w:cstheme="minorHAnsi"/>
          <w:sz w:val="24"/>
          <w:szCs w:val="24"/>
          <w:lang w:val="en-US"/>
        </w:rPr>
        <w:t xml:space="preserve">noting that </w:t>
      </w:r>
      <w:r w:rsidR="00A17522" w:rsidRPr="00474FAB">
        <w:rPr>
          <w:rFonts w:cstheme="minorHAnsi"/>
          <w:sz w:val="24"/>
          <w:szCs w:val="24"/>
          <w:lang w:val="en-US"/>
        </w:rPr>
        <w:t>i</w:t>
      </w:r>
      <w:r w:rsidR="000174D3" w:rsidRPr="00474FAB">
        <w:rPr>
          <w:rFonts w:cstheme="minorHAnsi"/>
          <w:sz w:val="24"/>
          <w:szCs w:val="24"/>
          <w:lang w:val="en-US"/>
        </w:rPr>
        <w:t xml:space="preserve">nternal features can be protected </w:t>
      </w:r>
      <w:r w:rsidR="00A17522" w:rsidRPr="00474FAB">
        <w:rPr>
          <w:rFonts w:cstheme="minorHAnsi"/>
          <w:sz w:val="24"/>
          <w:szCs w:val="24"/>
          <w:lang w:val="en-US"/>
        </w:rPr>
        <w:t xml:space="preserve">too </w:t>
      </w:r>
      <w:r w:rsidR="000174D3" w:rsidRPr="00474FAB">
        <w:rPr>
          <w:rFonts w:cstheme="minorHAnsi"/>
          <w:sz w:val="24"/>
          <w:szCs w:val="24"/>
          <w:lang w:val="en-US"/>
        </w:rPr>
        <w:t>if they can be represented. However, if a design is not visible at the time of purchase, it cannot be considered for determining individual character.</w:t>
      </w:r>
      <w:r w:rsidR="004644EA" w:rsidRPr="00474FAB">
        <w:rPr>
          <w:rStyle w:val="FootnoteReference"/>
          <w:rFonts w:cstheme="minorHAnsi"/>
          <w:sz w:val="24"/>
          <w:szCs w:val="24"/>
          <w:lang w:val="en-US"/>
        </w:rPr>
        <w:t xml:space="preserve"> </w:t>
      </w:r>
      <w:r w:rsidR="004644EA" w:rsidRPr="00474FAB">
        <w:rPr>
          <w:rStyle w:val="FootnoteReference"/>
          <w:rFonts w:cstheme="minorHAnsi"/>
          <w:sz w:val="24"/>
          <w:szCs w:val="24"/>
          <w:lang w:val="en-US"/>
        </w:rPr>
        <w:footnoteReference w:id="38"/>
      </w:r>
      <w:r w:rsidR="004644EA" w:rsidRPr="00474FAB">
        <w:rPr>
          <w:rFonts w:cstheme="minorHAnsi"/>
          <w:sz w:val="24"/>
          <w:szCs w:val="24"/>
          <w:lang w:val="en-US"/>
        </w:rPr>
        <w:t xml:space="preserve"> </w:t>
      </w:r>
      <w:r w:rsidR="000174D3" w:rsidRPr="00474FAB">
        <w:rPr>
          <w:rFonts w:cstheme="minorHAnsi"/>
          <w:sz w:val="24"/>
          <w:szCs w:val="24"/>
          <w:lang w:val="en-US"/>
        </w:rPr>
        <w:t xml:space="preserve">This suggests that the inside of a garment </w:t>
      </w:r>
      <w:r w:rsidR="00F57A98" w:rsidRPr="00474FAB">
        <w:rPr>
          <w:rFonts w:cstheme="minorHAnsi"/>
          <w:sz w:val="24"/>
          <w:szCs w:val="24"/>
          <w:lang w:val="en-US"/>
        </w:rPr>
        <w:t>is protected</w:t>
      </w:r>
      <w:r w:rsidR="00EB11C9" w:rsidRPr="00474FAB">
        <w:rPr>
          <w:rFonts w:cstheme="minorHAnsi"/>
          <w:sz w:val="24"/>
          <w:szCs w:val="24"/>
          <w:lang w:val="en-US"/>
        </w:rPr>
        <w:t xml:space="preserve">. </w:t>
      </w:r>
      <w:r w:rsidR="00EB11C9" w:rsidRPr="00474FAB">
        <w:rPr>
          <w:rStyle w:val="FootnoteReference"/>
          <w:rFonts w:cstheme="minorHAnsi"/>
          <w:sz w:val="24"/>
          <w:szCs w:val="24"/>
          <w:lang w:val="en-US"/>
        </w:rPr>
        <w:footnoteReference w:id="39"/>
      </w:r>
      <w:r w:rsidR="00EB11C9" w:rsidRPr="00474FAB">
        <w:rPr>
          <w:rFonts w:cstheme="minorHAnsi"/>
          <w:sz w:val="24"/>
          <w:szCs w:val="24"/>
          <w:lang w:val="en-US"/>
        </w:rPr>
        <w:t xml:space="preserve"> </w:t>
      </w:r>
    </w:p>
    <w:p w14:paraId="4D543A06" w14:textId="06CED37B" w:rsidR="00393D53" w:rsidRPr="00474FAB" w:rsidRDefault="00B36799" w:rsidP="001627EE">
      <w:pPr>
        <w:jc w:val="both"/>
        <w:rPr>
          <w:rFonts w:cstheme="minorHAnsi"/>
          <w:sz w:val="24"/>
          <w:szCs w:val="24"/>
          <w:lang w:val="en-US"/>
        </w:rPr>
      </w:pPr>
      <w:r w:rsidRPr="00474FAB">
        <w:rPr>
          <w:rFonts w:cstheme="minorHAnsi"/>
          <w:sz w:val="24"/>
          <w:szCs w:val="24"/>
          <w:lang w:val="en-US"/>
        </w:rPr>
        <w:t xml:space="preserve">Starting with the </w:t>
      </w:r>
      <w:r w:rsidR="00F733C9" w:rsidRPr="00474FAB">
        <w:rPr>
          <w:rFonts w:cstheme="minorHAnsi"/>
          <w:sz w:val="24"/>
          <w:szCs w:val="24"/>
          <w:lang w:val="en-US"/>
        </w:rPr>
        <w:t>criteri</w:t>
      </w:r>
      <w:r w:rsidR="00F733C9">
        <w:rPr>
          <w:rFonts w:cstheme="minorHAnsi"/>
          <w:sz w:val="24"/>
          <w:szCs w:val="24"/>
          <w:lang w:val="en-US"/>
        </w:rPr>
        <w:t>on</w:t>
      </w:r>
      <w:r w:rsidR="00F733C9" w:rsidRPr="00474FAB">
        <w:rPr>
          <w:rFonts w:cstheme="minorHAnsi"/>
          <w:sz w:val="24"/>
          <w:szCs w:val="24"/>
          <w:lang w:val="en-US"/>
        </w:rPr>
        <w:t xml:space="preserve"> </w:t>
      </w:r>
      <w:r w:rsidRPr="00474FAB">
        <w:rPr>
          <w:rFonts w:cstheme="minorHAnsi"/>
          <w:sz w:val="24"/>
          <w:szCs w:val="24"/>
          <w:lang w:val="en-US"/>
        </w:rPr>
        <w:t>of novelty, it</w:t>
      </w:r>
      <w:r w:rsidR="000174D3" w:rsidRPr="00474FAB">
        <w:rPr>
          <w:rFonts w:cstheme="minorHAnsi"/>
          <w:sz w:val="24"/>
          <w:szCs w:val="24"/>
          <w:lang w:val="en-US"/>
        </w:rPr>
        <w:t xml:space="preserve"> is defined as a design being 'new if no identical design has been available to the public'</w:t>
      </w:r>
      <w:r w:rsidR="001E2632" w:rsidRPr="00474FAB">
        <w:rPr>
          <w:rStyle w:val="FootnoteReference"/>
          <w:rFonts w:cstheme="minorHAnsi"/>
          <w:sz w:val="24"/>
          <w:szCs w:val="24"/>
          <w:lang w:val="en-US"/>
        </w:rPr>
        <w:footnoteReference w:id="40"/>
      </w:r>
      <w:r w:rsidR="001E2632" w:rsidRPr="00474FAB">
        <w:rPr>
          <w:rFonts w:cstheme="minorHAnsi"/>
          <w:sz w:val="24"/>
          <w:szCs w:val="24"/>
          <w:lang w:val="en-US"/>
        </w:rPr>
        <w:t xml:space="preserve"> </w:t>
      </w:r>
      <w:r w:rsidR="000174D3" w:rsidRPr="00474FAB">
        <w:rPr>
          <w:rFonts w:cstheme="minorHAnsi"/>
          <w:sz w:val="24"/>
          <w:szCs w:val="24"/>
          <w:lang w:val="en-US"/>
        </w:rPr>
        <w:t xml:space="preserve"> before the date of filing the application for registration or the date of priority.</w:t>
      </w:r>
      <w:r w:rsidR="001E2632" w:rsidRPr="00474FAB">
        <w:rPr>
          <w:rStyle w:val="FootnoteReference"/>
          <w:rFonts w:cstheme="minorHAnsi"/>
          <w:sz w:val="24"/>
          <w:szCs w:val="24"/>
          <w:lang w:val="en-US"/>
        </w:rPr>
        <w:t xml:space="preserve"> </w:t>
      </w:r>
      <w:r w:rsidR="001E2632" w:rsidRPr="00474FAB">
        <w:rPr>
          <w:rStyle w:val="FootnoteReference"/>
          <w:rFonts w:cstheme="minorHAnsi"/>
          <w:sz w:val="24"/>
          <w:szCs w:val="24"/>
          <w:lang w:val="en-US"/>
        </w:rPr>
        <w:footnoteReference w:id="41"/>
      </w:r>
      <w:r w:rsidR="001E2632" w:rsidRPr="00474FAB">
        <w:rPr>
          <w:rFonts w:cstheme="minorHAnsi"/>
          <w:sz w:val="24"/>
          <w:szCs w:val="24"/>
        </w:rPr>
        <w:t xml:space="preserve"> </w:t>
      </w:r>
      <w:r w:rsidR="000174D3" w:rsidRPr="00474FAB">
        <w:rPr>
          <w:rFonts w:cstheme="minorHAnsi"/>
          <w:sz w:val="24"/>
          <w:szCs w:val="24"/>
          <w:lang w:val="en-US"/>
        </w:rPr>
        <w:t xml:space="preserve"> </w:t>
      </w:r>
      <w:r w:rsidR="008E59D8" w:rsidRPr="00474FAB">
        <w:rPr>
          <w:rFonts w:cstheme="minorHAnsi"/>
          <w:sz w:val="24"/>
          <w:szCs w:val="24"/>
          <w:lang w:val="en-US"/>
        </w:rPr>
        <w:t>For instance, i</w:t>
      </w:r>
      <w:r w:rsidR="000174D3" w:rsidRPr="00474FAB">
        <w:rPr>
          <w:rFonts w:cstheme="minorHAnsi"/>
          <w:sz w:val="24"/>
          <w:szCs w:val="24"/>
          <w:lang w:val="en-US"/>
        </w:rPr>
        <w:t>f a pattern is applied to a different item of clothing but remains the same, it lacks novelty.</w:t>
      </w:r>
      <w:r w:rsidR="008E59D8" w:rsidRPr="00474FAB">
        <w:rPr>
          <w:rStyle w:val="FootnoteReference"/>
          <w:rFonts w:cstheme="minorHAnsi"/>
          <w:sz w:val="24"/>
          <w:szCs w:val="24"/>
        </w:rPr>
        <w:t xml:space="preserve"> </w:t>
      </w:r>
      <w:r w:rsidR="008E59D8" w:rsidRPr="00474FAB">
        <w:rPr>
          <w:rStyle w:val="FootnoteReference"/>
          <w:rFonts w:cstheme="minorHAnsi"/>
          <w:sz w:val="24"/>
          <w:szCs w:val="24"/>
        </w:rPr>
        <w:footnoteReference w:id="42"/>
      </w:r>
      <w:r w:rsidR="00EF612B" w:rsidRPr="00474FAB">
        <w:rPr>
          <w:rStyle w:val="FootnoteReference"/>
          <w:rFonts w:cstheme="minorHAnsi"/>
          <w:sz w:val="24"/>
          <w:szCs w:val="24"/>
        </w:rPr>
        <w:t xml:space="preserve"> </w:t>
      </w:r>
      <w:r w:rsidR="000174D3" w:rsidRPr="00474FAB">
        <w:rPr>
          <w:rFonts w:cstheme="minorHAnsi"/>
          <w:sz w:val="24"/>
          <w:szCs w:val="24"/>
          <w:lang w:val="en-US"/>
        </w:rPr>
        <w:t xml:space="preserve">The Directive expands on </w:t>
      </w:r>
      <w:r w:rsidR="00EF612B" w:rsidRPr="00474FAB">
        <w:rPr>
          <w:rFonts w:cstheme="minorHAnsi"/>
          <w:sz w:val="24"/>
          <w:szCs w:val="24"/>
          <w:lang w:val="en-US"/>
        </w:rPr>
        <w:t xml:space="preserve">the phrase </w:t>
      </w:r>
      <w:r w:rsidR="000174D3" w:rsidRPr="00474FAB">
        <w:rPr>
          <w:rFonts w:cstheme="minorHAnsi"/>
          <w:sz w:val="24"/>
          <w:szCs w:val="24"/>
          <w:lang w:val="en-US"/>
        </w:rPr>
        <w:t xml:space="preserve">'available to the public' by explaining 'disclosure' for assessing 'novelty and individual character'. Disclosure is understood as publication, exhibition, or use before the filing of the application for registration or the priority </w:t>
      </w:r>
      <w:r w:rsidR="009A5C51" w:rsidRPr="00474FAB">
        <w:rPr>
          <w:rFonts w:cstheme="minorHAnsi"/>
          <w:sz w:val="24"/>
          <w:szCs w:val="24"/>
          <w:lang w:val="en-US"/>
        </w:rPr>
        <w:t>date</w:t>
      </w:r>
      <w:r w:rsidR="009A5C51" w:rsidRPr="00474FAB">
        <w:rPr>
          <w:rStyle w:val="FootnoteReference"/>
          <w:rFonts w:cstheme="minorHAnsi"/>
          <w:sz w:val="24"/>
          <w:szCs w:val="24"/>
          <w:lang w:val="en-US"/>
        </w:rPr>
        <w:footnoteReference w:id="43"/>
      </w:r>
      <w:r w:rsidR="009A5C51" w:rsidRPr="00474FAB">
        <w:rPr>
          <w:rFonts w:cstheme="minorHAnsi"/>
          <w:sz w:val="24"/>
          <w:szCs w:val="24"/>
          <w:lang w:val="en-US"/>
        </w:rPr>
        <w:t xml:space="preserve"> and</w:t>
      </w:r>
      <w:r w:rsidR="000174D3" w:rsidRPr="00474FAB">
        <w:rPr>
          <w:rFonts w:cstheme="minorHAnsi"/>
          <w:sz w:val="24"/>
          <w:szCs w:val="24"/>
          <w:lang w:val="en-US"/>
        </w:rPr>
        <w:t xml:space="preserve"> must occur within the EU. </w:t>
      </w:r>
      <w:r w:rsidR="009A5C51" w:rsidRPr="00474FAB">
        <w:rPr>
          <w:rStyle w:val="FootnoteReference"/>
          <w:rFonts w:cstheme="minorHAnsi"/>
          <w:sz w:val="24"/>
          <w:szCs w:val="24"/>
          <w:lang w:val="en-US"/>
        </w:rPr>
        <w:footnoteReference w:id="44"/>
      </w:r>
      <w:r w:rsidR="009A5C51" w:rsidRPr="00474FAB">
        <w:rPr>
          <w:rFonts w:cstheme="minorHAnsi"/>
          <w:sz w:val="24"/>
          <w:szCs w:val="24"/>
          <w:lang w:val="en-US"/>
        </w:rPr>
        <w:t xml:space="preserve"> </w:t>
      </w:r>
      <w:r w:rsidR="000174D3" w:rsidRPr="00474FAB">
        <w:rPr>
          <w:rFonts w:cstheme="minorHAnsi"/>
          <w:sz w:val="24"/>
          <w:szCs w:val="24"/>
          <w:lang w:val="en-US"/>
        </w:rPr>
        <w:t>Some disclosures, such as those made by the designer or during the grace period (one year following the date of disclosure to the public), are not considered. For example, in Germany, the publication of a slide shoe image by the designer before registration (within the grace period), which was subsequently published by a third party, was not considered to render the registered design void</w:t>
      </w:r>
      <w:r w:rsidR="00307FB0" w:rsidRPr="00474FAB">
        <w:rPr>
          <w:rFonts w:cstheme="minorHAnsi"/>
          <w:sz w:val="24"/>
          <w:szCs w:val="24"/>
          <w:lang w:val="en-US"/>
        </w:rPr>
        <w:t>.</w:t>
      </w:r>
      <w:r w:rsidR="00BE09EB" w:rsidRPr="00474FAB">
        <w:rPr>
          <w:rStyle w:val="FootnoteReference"/>
          <w:rFonts w:cstheme="minorHAnsi"/>
          <w:sz w:val="24"/>
          <w:szCs w:val="24"/>
          <w:lang w:val="en-US"/>
        </w:rPr>
        <w:footnoteReference w:id="45"/>
      </w:r>
    </w:p>
    <w:p w14:paraId="476FF169" w14:textId="6EECA63C" w:rsidR="00883130" w:rsidRPr="00474FAB" w:rsidRDefault="00883130" w:rsidP="00883130">
      <w:pPr>
        <w:jc w:val="both"/>
        <w:rPr>
          <w:rFonts w:cstheme="minorHAnsi"/>
          <w:sz w:val="24"/>
          <w:szCs w:val="24"/>
          <w:lang w:val="en-US"/>
        </w:rPr>
      </w:pPr>
      <w:r w:rsidRPr="00474FAB">
        <w:rPr>
          <w:rFonts w:cstheme="minorHAnsi"/>
          <w:sz w:val="24"/>
          <w:szCs w:val="24"/>
          <w:lang w:val="en-US"/>
        </w:rPr>
        <w:lastRenderedPageBreak/>
        <w:t>The validity of a design also depends on its individual character, which is defined as the 'overall impression it produces on the informed user' and how it differs from any design made available to the public</w:t>
      </w:r>
      <w:r w:rsidR="00E26B64" w:rsidRPr="00474FAB">
        <w:rPr>
          <w:rStyle w:val="FootnoteReference"/>
          <w:rFonts w:cstheme="minorHAnsi"/>
          <w:sz w:val="24"/>
          <w:szCs w:val="24"/>
          <w:lang w:val="en-US"/>
        </w:rPr>
        <w:footnoteReference w:id="46"/>
      </w:r>
      <w:r w:rsidRPr="00474FAB">
        <w:rPr>
          <w:rFonts w:cstheme="minorHAnsi"/>
          <w:sz w:val="24"/>
          <w:szCs w:val="24"/>
          <w:lang w:val="en-US"/>
        </w:rPr>
        <w:t xml:space="preserve"> before the design for which protection is claimed.</w:t>
      </w:r>
      <w:r w:rsidR="00E26B64" w:rsidRPr="00474FAB">
        <w:rPr>
          <w:rStyle w:val="FootnoteReference"/>
          <w:rFonts w:cstheme="minorHAnsi"/>
          <w:sz w:val="24"/>
          <w:szCs w:val="24"/>
          <w:lang w:val="en-US"/>
        </w:rPr>
        <w:t xml:space="preserve"> </w:t>
      </w:r>
      <w:r w:rsidR="00E26B64" w:rsidRPr="00474FAB">
        <w:rPr>
          <w:rStyle w:val="FootnoteReference"/>
          <w:rFonts w:cstheme="minorHAnsi"/>
          <w:sz w:val="24"/>
          <w:szCs w:val="24"/>
          <w:lang w:val="en-US"/>
        </w:rPr>
        <w:footnoteReference w:id="47"/>
      </w:r>
      <w:r w:rsidR="00E26B64" w:rsidRPr="00474FAB">
        <w:rPr>
          <w:rFonts w:cstheme="minorHAnsi"/>
          <w:sz w:val="24"/>
          <w:szCs w:val="24"/>
          <w:lang w:val="en-US"/>
        </w:rPr>
        <w:t xml:space="preserve"> </w:t>
      </w:r>
      <w:r w:rsidRPr="00474FAB">
        <w:rPr>
          <w:rFonts w:cstheme="minorHAnsi"/>
          <w:sz w:val="24"/>
          <w:szCs w:val="24"/>
          <w:lang w:val="en-US"/>
        </w:rPr>
        <w:t xml:space="preserve"> The 'degree of freedom of the designer in developing the design' is also considered.</w:t>
      </w:r>
      <w:r w:rsidR="00C31518" w:rsidRPr="00474FAB">
        <w:rPr>
          <w:rStyle w:val="FootnoteReference"/>
          <w:rFonts w:cstheme="minorHAnsi"/>
          <w:sz w:val="24"/>
          <w:szCs w:val="24"/>
          <w:lang w:val="en-US"/>
        </w:rPr>
        <w:t xml:space="preserve"> </w:t>
      </w:r>
      <w:r w:rsidR="00C31518" w:rsidRPr="00474FAB">
        <w:rPr>
          <w:rStyle w:val="FootnoteReference"/>
          <w:rFonts w:cstheme="minorHAnsi"/>
          <w:sz w:val="24"/>
          <w:szCs w:val="24"/>
          <w:lang w:val="en-US"/>
        </w:rPr>
        <w:footnoteReference w:id="48"/>
      </w:r>
      <w:r w:rsidRPr="00474FAB">
        <w:rPr>
          <w:rFonts w:cstheme="minorHAnsi"/>
          <w:sz w:val="24"/>
          <w:szCs w:val="24"/>
          <w:lang w:val="en-US"/>
        </w:rPr>
        <w:t xml:space="preserve"> For instance, in a crowded sector, even slight differences can show individual character.</w:t>
      </w:r>
      <w:r w:rsidR="00C12DCA" w:rsidRPr="00474FAB">
        <w:rPr>
          <w:rStyle w:val="FootnoteReference"/>
          <w:rFonts w:cstheme="minorHAnsi"/>
          <w:sz w:val="24"/>
          <w:szCs w:val="24"/>
          <w:lang w:val="en-US"/>
        </w:rPr>
        <w:t xml:space="preserve"> </w:t>
      </w:r>
      <w:r w:rsidR="00C12DCA" w:rsidRPr="00474FAB">
        <w:rPr>
          <w:rStyle w:val="FootnoteReference"/>
          <w:rFonts w:cstheme="minorHAnsi"/>
          <w:sz w:val="24"/>
          <w:szCs w:val="24"/>
          <w:lang w:val="en-US"/>
        </w:rPr>
        <w:footnoteReference w:id="49"/>
      </w:r>
    </w:p>
    <w:p w14:paraId="3DD18BBA" w14:textId="58F2F19E" w:rsidR="00883130" w:rsidRPr="00474FAB" w:rsidRDefault="00883130" w:rsidP="00883130">
      <w:pPr>
        <w:jc w:val="both"/>
        <w:rPr>
          <w:rFonts w:cstheme="minorHAnsi"/>
          <w:sz w:val="24"/>
          <w:szCs w:val="24"/>
          <w:lang w:val="en-US"/>
        </w:rPr>
      </w:pPr>
      <w:r w:rsidRPr="00474FAB">
        <w:rPr>
          <w:rFonts w:cstheme="minorHAnsi"/>
          <w:sz w:val="24"/>
          <w:szCs w:val="24"/>
          <w:lang w:val="en-US"/>
        </w:rPr>
        <w:t xml:space="preserve">The overall impression is also linked to the 'representation' in the application for registration. For example, in Germany, the contrasting </w:t>
      </w:r>
      <w:proofErr w:type="spellStart"/>
      <w:r w:rsidRPr="00474FAB">
        <w:rPr>
          <w:rFonts w:cstheme="minorHAnsi"/>
          <w:sz w:val="24"/>
          <w:szCs w:val="24"/>
          <w:lang w:val="en-US"/>
        </w:rPr>
        <w:t>colour</w:t>
      </w:r>
      <w:proofErr w:type="spellEnd"/>
      <w:r w:rsidRPr="00474FAB">
        <w:rPr>
          <w:rFonts w:cstheme="minorHAnsi"/>
          <w:sz w:val="24"/>
          <w:szCs w:val="24"/>
          <w:lang w:val="en-US"/>
        </w:rPr>
        <w:t xml:space="preserve"> scheme used in the application for a ski goggles design determined the scope of protection of the design.</w:t>
      </w:r>
      <w:r w:rsidR="00C809E0" w:rsidRPr="00474FAB">
        <w:rPr>
          <w:rStyle w:val="FootnoteReference"/>
          <w:rFonts w:cstheme="minorHAnsi"/>
          <w:sz w:val="24"/>
          <w:szCs w:val="24"/>
          <w:lang w:val="en-US"/>
        </w:rPr>
        <w:t xml:space="preserve"> </w:t>
      </w:r>
      <w:r w:rsidR="00C809E0" w:rsidRPr="00474FAB">
        <w:rPr>
          <w:rStyle w:val="FootnoteReference"/>
          <w:rFonts w:cstheme="minorHAnsi"/>
          <w:sz w:val="24"/>
          <w:szCs w:val="24"/>
          <w:lang w:val="en-US"/>
        </w:rPr>
        <w:footnoteReference w:id="50"/>
      </w:r>
    </w:p>
    <w:p w14:paraId="20780A3D" w14:textId="6000FB0B" w:rsidR="00774E74" w:rsidRPr="00474FAB" w:rsidRDefault="00883130" w:rsidP="001627EE">
      <w:pPr>
        <w:jc w:val="both"/>
        <w:rPr>
          <w:rFonts w:cstheme="minorHAnsi"/>
          <w:sz w:val="24"/>
          <w:szCs w:val="24"/>
          <w:lang w:val="en-US"/>
        </w:rPr>
      </w:pPr>
      <w:r w:rsidRPr="00474FAB">
        <w:rPr>
          <w:rFonts w:cstheme="minorHAnsi"/>
          <w:sz w:val="24"/>
          <w:szCs w:val="24"/>
          <w:lang w:val="en-US"/>
        </w:rPr>
        <w:t xml:space="preserve">European courts have interpreted </w:t>
      </w:r>
      <w:r w:rsidR="009D67ED" w:rsidRPr="00474FAB">
        <w:rPr>
          <w:rFonts w:cstheme="minorHAnsi"/>
          <w:sz w:val="24"/>
          <w:szCs w:val="24"/>
          <w:lang w:val="en-US"/>
        </w:rPr>
        <w:t>the term</w:t>
      </w:r>
      <w:r w:rsidR="00805CC8" w:rsidRPr="00474FAB">
        <w:rPr>
          <w:rFonts w:cstheme="minorHAnsi"/>
          <w:sz w:val="24"/>
          <w:szCs w:val="24"/>
          <w:lang w:val="en-US"/>
        </w:rPr>
        <w:t xml:space="preserve"> </w:t>
      </w:r>
      <w:r w:rsidRPr="00474FAB">
        <w:rPr>
          <w:rFonts w:cstheme="minorHAnsi"/>
          <w:sz w:val="24"/>
          <w:szCs w:val="24"/>
          <w:lang w:val="en-US"/>
        </w:rPr>
        <w:t xml:space="preserve">literally. In the </w:t>
      </w:r>
      <w:r w:rsidRPr="00474FAB">
        <w:rPr>
          <w:rFonts w:cstheme="minorHAnsi"/>
          <w:i/>
          <w:iCs/>
          <w:sz w:val="24"/>
          <w:szCs w:val="24"/>
          <w:lang w:val="en-US"/>
        </w:rPr>
        <w:t>Karen Milker</w:t>
      </w:r>
      <w:r w:rsidRPr="00474FAB">
        <w:rPr>
          <w:rFonts w:cstheme="minorHAnsi"/>
          <w:sz w:val="24"/>
          <w:szCs w:val="24"/>
          <w:lang w:val="en-US"/>
        </w:rPr>
        <w:t xml:space="preserve"> case,</w:t>
      </w:r>
      <w:r w:rsidR="00BA4B77" w:rsidRPr="00474FAB">
        <w:rPr>
          <w:rStyle w:val="FootnoteReference"/>
          <w:rFonts w:cstheme="minorHAnsi"/>
          <w:sz w:val="24"/>
          <w:szCs w:val="24"/>
          <w:lang w:val="en-US"/>
        </w:rPr>
        <w:t xml:space="preserve"> </w:t>
      </w:r>
      <w:r w:rsidR="00BA4B77" w:rsidRPr="00474FAB">
        <w:rPr>
          <w:rStyle w:val="FootnoteReference"/>
          <w:rFonts w:cstheme="minorHAnsi"/>
          <w:sz w:val="24"/>
          <w:szCs w:val="24"/>
          <w:lang w:val="en-US"/>
        </w:rPr>
        <w:footnoteReference w:id="51"/>
      </w:r>
      <w:r w:rsidR="00BA4B77" w:rsidRPr="00474FAB">
        <w:rPr>
          <w:rFonts w:cstheme="minorHAnsi"/>
          <w:sz w:val="24"/>
          <w:szCs w:val="24"/>
          <w:lang w:val="en-US"/>
        </w:rPr>
        <w:t xml:space="preserve"> </w:t>
      </w:r>
      <w:r w:rsidRPr="00474FAB">
        <w:rPr>
          <w:rFonts w:cstheme="minorHAnsi"/>
          <w:sz w:val="24"/>
          <w:szCs w:val="24"/>
          <w:lang w:val="en-US"/>
        </w:rPr>
        <w:t>the CJEU disagreed with the argument that the garment lacked individual character due to several earlier items in clothing. They noted that individual character depends on the 'overall impression' that the design has on the 'informed user'. If a single earlier design does not have the same overall impression, the design has an individual character.</w:t>
      </w:r>
      <w:r w:rsidR="00BA52F9" w:rsidRPr="00474FAB">
        <w:rPr>
          <w:rFonts w:cstheme="minorHAnsi"/>
          <w:sz w:val="24"/>
          <w:szCs w:val="24"/>
          <w:lang w:val="en-US"/>
        </w:rPr>
        <w:t xml:space="preserve"> Moreover, the court ruled that the right holder of a design </w:t>
      </w:r>
      <w:r w:rsidR="00BA52F9" w:rsidRPr="00474FAB">
        <w:rPr>
          <w:rFonts w:cstheme="minorHAnsi"/>
          <w:i/>
          <w:iCs/>
          <w:sz w:val="24"/>
          <w:szCs w:val="24"/>
          <w:lang w:val="en-US"/>
        </w:rPr>
        <w:t>does not need to prove</w:t>
      </w:r>
      <w:r w:rsidR="00BA52F9" w:rsidRPr="00474FAB">
        <w:rPr>
          <w:rFonts w:cstheme="minorHAnsi"/>
          <w:sz w:val="24"/>
          <w:szCs w:val="24"/>
          <w:lang w:val="en-US"/>
        </w:rPr>
        <w:t xml:space="preserve"> that it has individual character but just </w:t>
      </w:r>
      <w:r w:rsidR="00BA52F9" w:rsidRPr="00474FAB">
        <w:rPr>
          <w:rFonts w:cstheme="minorHAnsi"/>
          <w:i/>
          <w:iCs/>
          <w:sz w:val="24"/>
          <w:szCs w:val="24"/>
          <w:lang w:val="en-US"/>
        </w:rPr>
        <w:t>need</w:t>
      </w:r>
      <w:r w:rsidR="00F733C9">
        <w:rPr>
          <w:rFonts w:cstheme="minorHAnsi"/>
          <w:i/>
          <w:iCs/>
          <w:sz w:val="24"/>
          <w:szCs w:val="24"/>
          <w:lang w:val="en-US"/>
        </w:rPr>
        <w:t>s</w:t>
      </w:r>
      <w:r w:rsidR="00BA52F9" w:rsidRPr="00474FAB">
        <w:rPr>
          <w:rFonts w:cstheme="minorHAnsi"/>
          <w:i/>
          <w:iCs/>
          <w:sz w:val="24"/>
          <w:szCs w:val="24"/>
          <w:lang w:val="en-US"/>
        </w:rPr>
        <w:t xml:space="preserve"> to indicate</w:t>
      </w:r>
      <w:r w:rsidR="00BA52F9" w:rsidRPr="00474FAB">
        <w:rPr>
          <w:rFonts w:cstheme="minorHAnsi"/>
          <w:sz w:val="24"/>
          <w:szCs w:val="24"/>
          <w:lang w:val="en-US"/>
        </w:rPr>
        <w:t xml:space="preserve"> what constitutes individual character of that design, that is, what are the element(s) of the design which give its individual character.</w:t>
      </w:r>
      <w:r w:rsidR="000C0FBF" w:rsidRPr="00474FAB">
        <w:rPr>
          <w:rFonts w:cstheme="minorHAnsi"/>
          <w:sz w:val="24"/>
          <w:szCs w:val="24"/>
          <w:lang w:val="en-US"/>
        </w:rPr>
        <w:t xml:space="preserve"> </w:t>
      </w:r>
      <w:r w:rsidRPr="00474FAB">
        <w:rPr>
          <w:rFonts w:cstheme="minorHAnsi"/>
          <w:sz w:val="24"/>
          <w:szCs w:val="24"/>
          <w:lang w:val="en-US"/>
        </w:rPr>
        <w:t>Italian courts have interpreted the notion of individual character by using a test that includes identifying the relevant sector, the prior art in the sector, the informed user, and comparing the prior art with the design at issue</w:t>
      </w:r>
      <w:r w:rsidR="00194661" w:rsidRPr="00474FAB">
        <w:rPr>
          <w:rFonts w:cstheme="minorHAnsi"/>
          <w:sz w:val="24"/>
          <w:szCs w:val="24"/>
          <w:lang w:val="en-US"/>
        </w:rPr>
        <w:t>.</w:t>
      </w:r>
      <w:r w:rsidR="00194661" w:rsidRPr="00474FAB">
        <w:rPr>
          <w:rStyle w:val="FootnoteReference"/>
          <w:rFonts w:cstheme="minorHAnsi"/>
          <w:sz w:val="24"/>
          <w:szCs w:val="24"/>
          <w:lang w:val="en-US"/>
        </w:rPr>
        <w:footnoteReference w:id="52"/>
      </w:r>
    </w:p>
    <w:p w14:paraId="1E995A74" w14:textId="16A415C6" w:rsidR="00E8569F" w:rsidRPr="00474FAB" w:rsidRDefault="00866ADD" w:rsidP="001627EE">
      <w:pPr>
        <w:jc w:val="both"/>
        <w:rPr>
          <w:rFonts w:cstheme="minorHAnsi"/>
          <w:sz w:val="24"/>
          <w:szCs w:val="24"/>
        </w:rPr>
      </w:pPr>
      <w:r w:rsidRPr="00474FAB">
        <w:rPr>
          <w:rFonts w:cstheme="minorHAnsi"/>
          <w:sz w:val="24"/>
          <w:szCs w:val="24"/>
        </w:rPr>
        <w:t xml:space="preserve">Finally, novelty and individual character </w:t>
      </w:r>
      <w:r w:rsidR="0059214C">
        <w:rPr>
          <w:rFonts w:cstheme="minorHAnsi"/>
          <w:sz w:val="24"/>
          <w:szCs w:val="24"/>
        </w:rPr>
        <w:t>are</w:t>
      </w:r>
      <w:r w:rsidR="00713A80" w:rsidRPr="00474FAB">
        <w:rPr>
          <w:rFonts w:cstheme="minorHAnsi"/>
          <w:sz w:val="24"/>
          <w:szCs w:val="24"/>
        </w:rPr>
        <w:t xml:space="preserve"> </w:t>
      </w:r>
      <w:r w:rsidR="0053132D" w:rsidRPr="00474FAB">
        <w:rPr>
          <w:rFonts w:cstheme="minorHAnsi"/>
          <w:sz w:val="24"/>
          <w:szCs w:val="24"/>
        </w:rPr>
        <w:t>accompanied</w:t>
      </w:r>
      <w:r w:rsidR="00713A80" w:rsidRPr="00474FAB">
        <w:rPr>
          <w:rFonts w:cstheme="minorHAnsi"/>
          <w:sz w:val="24"/>
          <w:szCs w:val="24"/>
        </w:rPr>
        <w:t xml:space="preserve"> by</w:t>
      </w:r>
      <w:r w:rsidRPr="00474FAB">
        <w:rPr>
          <w:rFonts w:cstheme="minorHAnsi"/>
          <w:sz w:val="24"/>
          <w:szCs w:val="24"/>
        </w:rPr>
        <w:t xml:space="preserve"> another </w:t>
      </w:r>
      <w:r w:rsidR="000C0FBF" w:rsidRPr="00474FAB">
        <w:rPr>
          <w:rFonts w:cstheme="minorHAnsi"/>
          <w:sz w:val="24"/>
          <w:szCs w:val="24"/>
        </w:rPr>
        <w:t>term</w:t>
      </w:r>
      <w:r w:rsidRPr="00474FAB">
        <w:rPr>
          <w:rFonts w:cstheme="minorHAnsi"/>
          <w:sz w:val="24"/>
          <w:szCs w:val="24"/>
        </w:rPr>
        <w:t>, that of</w:t>
      </w:r>
      <w:r w:rsidR="000C0FBF" w:rsidRPr="00474FAB">
        <w:rPr>
          <w:rFonts w:cstheme="minorHAnsi"/>
          <w:sz w:val="24"/>
          <w:szCs w:val="24"/>
        </w:rPr>
        <w:t xml:space="preserve"> ‘informed user’ </w:t>
      </w:r>
      <w:r w:rsidR="00713A80" w:rsidRPr="00474FAB">
        <w:rPr>
          <w:rFonts w:cstheme="minorHAnsi"/>
          <w:sz w:val="24"/>
          <w:szCs w:val="24"/>
        </w:rPr>
        <w:t xml:space="preserve">which </w:t>
      </w:r>
      <w:r w:rsidR="000C0FBF" w:rsidRPr="00474FAB">
        <w:rPr>
          <w:rFonts w:cstheme="minorHAnsi"/>
          <w:sz w:val="24"/>
          <w:szCs w:val="24"/>
        </w:rPr>
        <w:t xml:space="preserve">is significant in the Community legal framework. While the term changes linguistically in France to ‘informed observer’, </w:t>
      </w:r>
      <w:proofErr w:type="spellStart"/>
      <w:r w:rsidR="000C0FBF" w:rsidRPr="00474FAB">
        <w:rPr>
          <w:rFonts w:cstheme="minorHAnsi"/>
          <w:sz w:val="24"/>
          <w:szCs w:val="24"/>
        </w:rPr>
        <w:t>Derclaye</w:t>
      </w:r>
      <w:proofErr w:type="spellEnd"/>
      <w:r w:rsidR="000C0FBF" w:rsidRPr="00474FAB">
        <w:rPr>
          <w:rFonts w:cstheme="minorHAnsi"/>
          <w:sz w:val="24"/>
          <w:szCs w:val="24"/>
        </w:rPr>
        <w:t xml:space="preserve"> notes that the wording difference is not substantial.</w:t>
      </w:r>
      <w:r w:rsidR="005120F8" w:rsidRPr="00474FAB">
        <w:rPr>
          <w:rStyle w:val="FootnoteReference"/>
          <w:rFonts w:cstheme="minorHAnsi"/>
          <w:sz w:val="24"/>
          <w:szCs w:val="24"/>
          <w:lang w:val="en-US"/>
        </w:rPr>
        <w:t xml:space="preserve"> </w:t>
      </w:r>
      <w:r w:rsidR="005120F8" w:rsidRPr="00474FAB">
        <w:rPr>
          <w:rStyle w:val="FootnoteReference"/>
          <w:rFonts w:cstheme="minorHAnsi"/>
          <w:sz w:val="24"/>
          <w:szCs w:val="24"/>
          <w:lang w:val="en-US"/>
        </w:rPr>
        <w:footnoteReference w:id="53"/>
      </w:r>
      <w:r w:rsidR="005120F8" w:rsidRPr="00474FAB">
        <w:rPr>
          <w:rFonts w:cstheme="minorHAnsi"/>
          <w:sz w:val="24"/>
          <w:szCs w:val="24"/>
          <w:lang w:val="en-US"/>
        </w:rPr>
        <w:t xml:space="preserve"> </w:t>
      </w:r>
      <w:r w:rsidR="000C0FBF" w:rsidRPr="00474FAB">
        <w:rPr>
          <w:rFonts w:cstheme="minorHAnsi"/>
          <w:sz w:val="24"/>
          <w:szCs w:val="24"/>
        </w:rPr>
        <w:t xml:space="preserve"> French courts define the concept as ‘a user not with average attention but with special vigilance’ due to their personal experiences and knowledge in the sector.</w:t>
      </w:r>
      <w:r w:rsidR="00AE5649" w:rsidRPr="00474FAB">
        <w:rPr>
          <w:rStyle w:val="FootnoteReference"/>
          <w:rFonts w:cstheme="minorHAnsi"/>
          <w:sz w:val="24"/>
          <w:szCs w:val="24"/>
          <w:lang w:val="en-US"/>
        </w:rPr>
        <w:t xml:space="preserve"> </w:t>
      </w:r>
      <w:r w:rsidR="00AE5649" w:rsidRPr="00474FAB">
        <w:rPr>
          <w:rStyle w:val="FootnoteReference"/>
          <w:rFonts w:cstheme="minorHAnsi"/>
          <w:sz w:val="24"/>
          <w:szCs w:val="24"/>
          <w:lang w:val="en-US"/>
        </w:rPr>
        <w:footnoteReference w:id="54"/>
      </w:r>
      <w:r w:rsidR="0053132D" w:rsidRPr="00474FAB">
        <w:rPr>
          <w:rFonts w:cstheme="minorHAnsi"/>
          <w:sz w:val="24"/>
          <w:szCs w:val="24"/>
          <w:lang w:val="en-US"/>
        </w:rPr>
        <w:t xml:space="preserve"> In Italy, t</w:t>
      </w:r>
      <w:r w:rsidR="000C0FBF" w:rsidRPr="00474FAB">
        <w:rPr>
          <w:rFonts w:cstheme="minorHAnsi"/>
          <w:sz w:val="24"/>
          <w:szCs w:val="24"/>
        </w:rPr>
        <w:t xml:space="preserve">he understanding of ‘informed user’ is similar. In </w:t>
      </w:r>
      <w:r w:rsidR="000C0FBF" w:rsidRPr="00474FAB">
        <w:rPr>
          <w:rFonts w:cstheme="minorHAnsi"/>
          <w:i/>
          <w:iCs/>
          <w:sz w:val="24"/>
          <w:szCs w:val="24"/>
        </w:rPr>
        <w:t xml:space="preserve">Casa </w:t>
      </w:r>
      <w:proofErr w:type="spellStart"/>
      <w:r w:rsidR="000C0FBF" w:rsidRPr="00474FAB">
        <w:rPr>
          <w:rFonts w:cstheme="minorHAnsi"/>
          <w:i/>
          <w:iCs/>
          <w:sz w:val="24"/>
          <w:szCs w:val="24"/>
        </w:rPr>
        <w:t>Daminani</w:t>
      </w:r>
      <w:proofErr w:type="spellEnd"/>
      <w:r w:rsidR="000C0FBF" w:rsidRPr="00474FAB">
        <w:rPr>
          <w:rFonts w:cstheme="minorHAnsi"/>
          <w:sz w:val="24"/>
          <w:szCs w:val="24"/>
        </w:rPr>
        <w:t>, the court refers to the informed user as someone ‘familiar with and having knowledge in the field’,</w:t>
      </w:r>
      <w:r w:rsidR="00563C9A" w:rsidRPr="00474FAB">
        <w:rPr>
          <w:rStyle w:val="FootnoteReference"/>
          <w:rFonts w:cstheme="minorHAnsi"/>
          <w:sz w:val="24"/>
          <w:szCs w:val="24"/>
          <w:lang w:val="en-US"/>
        </w:rPr>
        <w:t xml:space="preserve"> </w:t>
      </w:r>
      <w:r w:rsidR="00563C9A" w:rsidRPr="00474FAB">
        <w:rPr>
          <w:rStyle w:val="FootnoteReference"/>
          <w:rFonts w:cstheme="minorHAnsi"/>
          <w:sz w:val="24"/>
          <w:szCs w:val="24"/>
          <w:lang w:val="en-US"/>
        </w:rPr>
        <w:footnoteReference w:id="55"/>
      </w:r>
      <w:r w:rsidR="00563C9A" w:rsidRPr="00474FAB">
        <w:rPr>
          <w:rFonts w:cstheme="minorHAnsi"/>
          <w:sz w:val="24"/>
          <w:szCs w:val="24"/>
          <w:lang w:val="en-US"/>
        </w:rPr>
        <w:t xml:space="preserve"> </w:t>
      </w:r>
      <w:r w:rsidR="000C0FBF" w:rsidRPr="00474FAB">
        <w:rPr>
          <w:rFonts w:cstheme="minorHAnsi"/>
          <w:sz w:val="24"/>
          <w:szCs w:val="24"/>
        </w:rPr>
        <w:t xml:space="preserve"> and as a person ‘whose attention is markedly superior to the average’.</w:t>
      </w:r>
      <w:r w:rsidR="00563C9A" w:rsidRPr="00474FAB">
        <w:rPr>
          <w:rStyle w:val="FootnoteReference"/>
          <w:rFonts w:cstheme="minorHAnsi"/>
          <w:sz w:val="24"/>
          <w:szCs w:val="24"/>
          <w:lang w:val="en-US"/>
        </w:rPr>
        <w:t xml:space="preserve"> </w:t>
      </w:r>
      <w:r w:rsidR="00563C9A" w:rsidRPr="00474FAB">
        <w:rPr>
          <w:rStyle w:val="FootnoteReference"/>
          <w:rFonts w:cstheme="minorHAnsi"/>
          <w:sz w:val="24"/>
          <w:szCs w:val="24"/>
          <w:lang w:val="en-US"/>
        </w:rPr>
        <w:footnoteReference w:id="56"/>
      </w:r>
      <w:r w:rsidR="000C0FBF" w:rsidRPr="00474FAB">
        <w:rPr>
          <w:rFonts w:cstheme="minorHAnsi"/>
          <w:sz w:val="24"/>
          <w:szCs w:val="24"/>
        </w:rPr>
        <w:t xml:space="preserve"> </w:t>
      </w:r>
      <w:proofErr w:type="spellStart"/>
      <w:r w:rsidR="000C0FBF" w:rsidRPr="00474FAB">
        <w:rPr>
          <w:rFonts w:cstheme="minorHAnsi"/>
          <w:sz w:val="24"/>
          <w:szCs w:val="24"/>
        </w:rPr>
        <w:t>Suthersanen</w:t>
      </w:r>
      <w:proofErr w:type="spellEnd"/>
      <w:r w:rsidR="000C0FBF" w:rsidRPr="00474FAB">
        <w:rPr>
          <w:rFonts w:cstheme="minorHAnsi"/>
          <w:sz w:val="24"/>
          <w:szCs w:val="24"/>
        </w:rPr>
        <w:t xml:space="preserve"> suggests that an ‘informed user’ could be a user, a designer, or a collector.</w:t>
      </w:r>
      <w:r w:rsidR="005113E3" w:rsidRPr="00474FAB">
        <w:rPr>
          <w:rStyle w:val="FootnoteReference"/>
          <w:rFonts w:cstheme="minorHAnsi"/>
          <w:sz w:val="24"/>
          <w:szCs w:val="24"/>
          <w:lang w:val="en-US"/>
        </w:rPr>
        <w:t xml:space="preserve"> </w:t>
      </w:r>
      <w:r w:rsidR="005113E3" w:rsidRPr="00474FAB">
        <w:rPr>
          <w:rStyle w:val="FootnoteReference"/>
          <w:rFonts w:cstheme="minorHAnsi"/>
          <w:sz w:val="24"/>
          <w:szCs w:val="24"/>
          <w:lang w:val="en-US"/>
        </w:rPr>
        <w:footnoteReference w:id="57"/>
      </w:r>
      <w:r w:rsidR="005113E3" w:rsidRPr="00474FAB">
        <w:rPr>
          <w:rFonts w:cstheme="minorHAnsi"/>
          <w:sz w:val="24"/>
          <w:szCs w:val="24"/>
          <w:lang w:val="en-US"/>
        </w:rPr>
        <w:t xml:space="preserve"> </w:t>
      </w:r>
      <w:r w:rsidR="00224F63" w:rsidRPr="00474FAB">
        <w:rPr>
          <w:rFonts w:cstheme="minorHAnsi"/>
          <w:sz w:val="24"/>
          <w:szCs w:val="24"/>
          <w:lang w:val="en-US"/>
        </w:rPr>
        <w:t xml:space="preserve">She also notes </w:t>
      </w:r>
      <w:r w:rsidR="00642EAB" w:rsidRPr="00474FAB">
        <w:rPr>
          <w:rFonts w:cstheme="minorHAnsi"/>
          <w:sz w:val="24"/>
          <w:szCs w:val="24"/>
        </w:rPr>
        <w:t>that</w:t>
      </w:r>
      <w:r w:rsidR="000C0FBF" w:rsidRPr="00474FAB">
        <w:rPr>
          <w:rFonts w:cstheme="minorHAnsi"/>
          <w:sz w:val="24"/>
          <w:szCs w:val="24"/>
        </w:rPr>
        <w:t xml:space="preserve"> the term ‘informed user’ differs from ‘person skilled in the art’ used in patent law or ‘average </w:t>
      </w:r>
      <w:r w:rsidR="000C0FBF" w:rsidRPr="00474FAB">
        <w:rPr>
          <w:rFonts w:cstheme="minorHAnsi"/>
          <w:sz w:val="24"/>
          <w:szCs w:val="24"/>
        </w:rPr>
        <w:lastRenderedPageBreak/>
        <w:t>consumer’ used in trade</w:t>
      </w:r>
      <w:r w:rsidR="005E7E85" w:rsidRPr="00474FAB">
        <w:rPr>
          <w:rFonts w:cstheme="minorHAnsi"/>
          <w:sz w:val="24"/>
          <w:szCs w:val="24"/>
        </w:rPr>
        <w:t xml:space="preserve"> </w:t>
      </w:r>
      <w:r w:rsidR="000C0FBF" w:rsidRPr="00474FAB">
        <w:rPr>
          <w:rFonts w:cstheme="minorHAnsi"/>
          <w:sz w:val="24"/>
          <w:szCs w:val="24"/>
        </w:rPr>
        <w:t>mark law.</w:t>
      </w:r>
      <w:r w:rsidR="005E7E85" w:rsidRPr="00474FAB">
        <w:rPr>
          <w:rStyle w:val="FootnoteReference"/>
          <w:rFonts w:cstheme="minorHAnsi"/>
          <w:sz w:val="24"/>
          <w:szCs w:val="24"/>
          <w:lang w:val="en-US"/>
        </w:rPr>
        <w:t xml:space="preserve"> </w:t>
      </w:r>
      <w:r w:rsidR="005E7E85" w:rsidRPr="00474FAB">
        <w:rPr>
          <w:rStyle w:val="FootnoteReference"/>
          <w:rFonts w:cstheme="minorHAnsi"/>
          <w:sz w:val="24"/>
          <w:szCs w:val="24"/>
          <w:lang w:val="en-US"/>
        </w:rPr>
        <w:footnoteReference w:id="58"/>
      </w:r>
      <w:r w:rsidR="005E7E85" w:rsidRPr="00474FAB">
        <w:rPr>
          <w:rFonts w:cstheme="minorHAnsi"/>
          <w:sz w:val="24"/>
          <w:szCs w:val="24"/>
        </w:rPr>
        <w:t xml:space="preserve"> </w:t>
      </w:r>
      <w:r w:rsidR="000C0FBF" w:rsidRPr="00474FAB">
        <w:rPr>
          <w:rFonts w:cstheme="minorHAnsi"/>
          <w:sz w:val="24"/>
          <w:szCs w:val="24"/>
        </w:rPr>
        <w:t xml:space="preserve"> </w:t>
      </w:r>
      <w:r w:rsidR="000B24EF" w:rsidRPr="00474FAB">
        <w:rPr>
          <w:rFonts w:cstheme="minorHAnsi"/>
          <w:sz w:val="24"/>
          <w:szCs w:val="24"/>
        </w:rPr>
        <w:t>I</w:t>
      </w:r>
      <w:r w:rsidR="000C0FBF" w:rsidRPr="00474FAB">
        <w:rPr>
          <w:rFonts w:cstheme="minorHAnsi"/>
          <w:sz w:val="24"/>
          <w:szCs w:val="24"/>
        </w:rPr>
        <w:t>n</w:t>
      </w:r>
      <w:r w:rsidR="000C0FBF" w:rsidRPr="00474FAB">
        <w:rPr>
          <w:rFonts w:cstheme="minorHAnsi"/>
          <w:i/>
          <w:iCs/>
          <w:sz w:val="24"/>
          <w:szCs w:val="24"/>
        </w:rPr>
        <w:t xml:space="preserve"> PepsiCo Inc v Grupo Promer Mon Graphic SA</w:t>
      </w:r>
      <w:r w:rsidR="000C0FBF" w:rsidRPr="00474FAB">
        <w:rPr>
          <w:rFonts w:cstheme="minorHAnsi"/>
          <w:sz w:val="24"/>
          <w:szCs w:val="24"/>
        </w:rPr>
        <w:t>, the CJEU interprets the informed user as ‘a particularly observant one, either because of his personal experience or his extensive knowledge of the sector in question’</w:t>
      </w:r>
      <w:r w:rsidR="004C6606" w:rsidRPr="00474FAB">
        <w:rPr>
          <w:rFonts w:cstheme="minorHAnsi"/>
          <w:sz w:val="24"/>
          <w:szCs w:val="24"/>
          <w:lang w:val="en-US"/>
        </w:rPr>
        <w:t>.</w:t>
      </w:r>
      <w:r w:rsidR="00B70D86" w:rsidRPr="00474FAB">
        <w:rPr>
          <w:rStyle w:val="FootnoteReference"/>
          <w:rFonts w:cstheme="minorHAnsi"/>
          <w:sz w:val="24"/>
          <w:szCs w:val="24"/>
          <w:lang w:val="en-US"/>
        </w:rPr>
        <w:footnoteReference w:id="59"/>
      </w:r>
    </w:p>
    <w:p w14:paraId="24F048DC" w14:textId="77777777" w:rsidR="001703F7" w:rsidRPr="00474FAB" w:rsidRDefault="001703F7" w:rsidP="001627EE">
      <w:pPr>
        <w:pStyle w:val="ListParagraph"/>
        <w:numPr>
          <w:ilvl w:val="1"/>
          <w:numId w:val="4"/>
        </w:numPr>
        <w:jc w:val="both"/>
        <w:rPr>
          <w:rFonts w:cstheme="minorHAnsi"/>
          <w:sz w:val="24"/>
          <w:szCs w:val="24"/>
          <w:lang w:val="en-US"/>
        </w:rPr>
      </w:pPr>
      <w:r w:rsidRPr="00474FAB">
        <w:rPr>
          <w:rFonts w:cstheme="minorHAnsi"/>
          <w:sz w:val="24"/>
          <w:szCs w:val="24"/>
          <w:lang w:val="en-US"/>
        </w:rPr>
        <w:t>Grounds for refusal</w:t>
      </w:r>
    </w:p>
    <w:p w14:paraId="0D8073D4" w14:textId="0A056023" w:rsidR="00AA28F8" w:rsidRPr="00474FAB" w:rsidRDefault="00AA28F8" w:rsidP="00AA28F8">
      <w:pPr>
        <w:jc w:val="both"/>
        <w:rPr>
          <w:rFonts w:cstheme="minorHAnsi"/>
          <w:sz w:val="24"/>
          <w:szCs w:val="24"/>
          <w:lang w:val="en-US"/>
        </w:rPr>
      </w:pPr>
      <w:r w:rsidRPr="00474FAB">
        <w:rPr>
          <w:rFonts w:cstheme="minorHAnsi"/>
          <w:sz w:val="24"/>
          <w:szCs w:val="24"/>
          <w:lang w:val="en-US"/>
        </w:rPr>
        <w:t>There are certain limitations on design registration, resulting in some designs being excluded. For instance, a design cannot be registered if it is dictated solely by its technical function or if it is contrary to public order and morality. In the case of technical function, a design is excluded if it is dictated solely by its technical function</w:t>
      </w:r>
      <w:r w:rsidR="00B7599D" w:rsidRPr="00474FAB">
        <w:rPr>
          <w:rStyle w:val="FootnoteReference"/>
          <w:rFonts w:cstheme="minorHAnsi"/>
          <w:sz w:val="24"/>
          <w:szCs w:val="24"/>
          <w:lang w:val="en-US"/>
        </w:rPr>
        <w:footnoteReference w:id="60"/>
      </w:r>
      <w:r w:rsidRPr="00474FAB">
        <w:rPr>
          <w:rFonts w:cstheme="minorHAnsi"/>
          <w:sz w:val="24"/>
          <w:szCs w:val="24"/>
          <w:lang w:val="en-US"/>
        </w:rPr>
        <w:t xml:space="preserve"> or those of interconnections, unless </w:t>
      </w:r>
      <w:r w:rsidR="00F733C9">
        <w:rPr>
          <w:rFonts w:cstheme="minorHAnsi"/>
          <w:sz w:val="24"/>
          <w:szCs w:val="24"/>
          <w:lang w:val="en-US"/>
        </w:rPr>
        <w:t xml:space="preserve">its </w:t>
      </w:r>
      <w:r w:rsidRPr="00474FAB">
        <w:rPr>
          <w:rFonts w:cstheme="minorHAnsi"/>
          <w:sz w:val="24"/>
          <w:szCs w:val="24"/>
          <w:lang w:val="en-US"/>
        </w:rPr>
        <w:t>interconnections allow for the 'multiple assembly or connection of mutually interchangeable products within a modular system'.</w:t>
      </w:r>
      <w:r w:rsidR="00BD418B" w:rsidRPr="00474FAB">
        <w:rPr>
          <w:rStyle w:val="FootnoteReference"/>
          <w:rFonts w:cstheme="minorHAnsi"/>
          <w:sz w:val="24"/>
          <w:szCs w:val="24"/>
          <w:lang w:val="en-US"/>
        </w:rPr>
        <w:footnoteReference w:id="61"/>
      </w:r>
      <w:r w:rsidR="00820704" w:rsidRPr="00474FAB">
        <w:rPr>
          <w:rFonts w:cstheme="minorHAnsi"/>
          <w:sz w:val="24"/>
          <w:szCs w:val="24"/>
          <w:lang w:val="en-US"/>
        </w:rPr>
        <w:t xml:space="preserve"> </w:t>
      </w:r>
      <w:r w:rsidRPr="00474FAB">
        <w:rPr>
          <w:rFonts w:cstheme="minorHAnsi"/>
          <w:sz w:val="24"/>
          <w:szCs w:val="24"/>
          <w:lang w:val="en-US"/>
        </w:rPr>
        <w:t xml:space="preserve">The </w:t>
      </w:r>
      <w:r w:rsidR="00F733C9">
        <w:rPr>
          <w:rFonts w:cstheme="minorHAnsi"/>
          <w:sz w:val="24"/>
          <w:szCs w:val="24"/>
          <w:lang w:val="en-US"/>
        </w:rPr>
        <w:t>exception</w:t>
      </w:r>
      <w:r w:rsidR="00F733C9" w:rsidRPr="00474FAB">
        <w:rPr>
          <w:rFonts w:cstheme="minorHAnsi"/>
          <w:sz w:val="24"/>
          <w:szCs w:val="24"/>
          <w:lang w:val="en-US"/>
        </w:rPr>
        <w:t xml:space="preserve"> </w:t>
      </w:r>
      <w:r w:rsidRPr="00474FAB">
        <w:rPr>
          <w:rFonts w:cstheme="minorHAnsi"/>
          <w:sz w:val="24"/>
          <w:szCs w:val="24"/>
          <w:lang w:val="en-US"/>
        </w:rPr>
        <w:t>is applicable when the aesthetic configurations are inseparable from the functional characteristics which are needed for the product.</w:t>
      </w:r>
      <w:r w:rsidR="00820704" w:rsidRPr="00474FAB">
        <w:rPr>
          <w:rStyle w:val="FootnoteReference"/>
          <w:rFonts w:cstheme="minorHAnsi"/>
          <w:sz w:val="24"/>
          <w:szCs w:val="24"/>
          <w:lang w:val="en-US"/>
        </w:rPr>
        <w:t xml:space="preserve"> </w:t>
      </w:r>
      <w:r w:rsidR="00820704" w:rsidRPr="00474FAB">
        <w:rPr>
          <w:rStyle w:val="FootnoteReference"/>
          <w:rFonts w:cstheme="minorHAnsi"/>
          <w:sz w:val="24"/>
          <w:szCs w:val="24"/>
          <w:lang w:val="en-US"/>
        </w:rPr>
        <w:footnoteReference w:id="62"/>
      </w:r>
      <w:r w:rsidR="00820704" w:rsidRPr="00474FAB">
        <w:rPr>
          <w:rFonts w:cstheme="minorHAnsi"/>
          <w:sz w:val="24"/>
          <w:szCs w:val="24"/>
          <w:lang w:val="en-US"/>
        </w:rPr>
        <w:t xml:space="preserve"> </w:t>
      </w:r>
      <w:r w:rsidRPr="00474FAB">
        <w:rPr>
          <w:rFonts w:cstheme="minorHAnsi"/>
          <w:sz w:val="24"/>
          <w:szCs w:val="24"/>
          <w:lang w:val="en-US"/>
        </w:rPr>
        <w:t>Recital 1</w:t>
      </w:r>
      <w:r w:rsidR="001654D8">
        <w:rPr>
          <w:rFonts w:cstheme="minorHAnsi"/>
          <w:sz w:val="24"/>
          <w:szCs w:val="24"/>
          <w:lang w:val="en-US"/>
        </w:rPr>
        <w:t>0</w:t>
      </w:r>
      <w:r w:rsidRPr="00474FAB">
        <w:rPr>
          <w:rFonts w:cstheme="minorHAnsi"/>
          <w:sz w:val="24"/>
          <w:szCs w:val="24"/>
          <w:lang w:val="en-US"/>
        </w:rPr>
        <w:t xml:space="preserve"> of the </w:t>
      </w:r>
      <w:r w:rsidR="001654D8">
        <w:rPr>
          <w:rFonts w:cstheme="minorHAnsi"/>
          <w:sz w:val="24"/>
          <w:szCs w:val="24"/>
          <w:lang w:val="en-US"/>
        </w:rPr>
        <w:t>Regulation</w:t>
      </w:r>
      <w:r w:rsidRPr="00474FAB">
        <w:rPr>
          <w:rFonts w:cstheme="minorHAnsi"/>
          <w:sz w:val="24"/>
          <w:szCs w:val="24"/>
          <w:lang w:val="en-US"/>
        </w:rPr>
        <w:t xml:space="preserve"> notes that technological innovation should not be </w:t>
      </w:r>
      <w:r w:rsidR="009D09B7">
        <w:rPr>
          <w:rFonts w:cstheme="minorHAnsi"/>
          <w:sz w:val="24"/>
          <w:szCs w:val="24"/>
          <w:lang w:val="en-US"/>
        </w:rPr>
        <w:t>‘</w:t>
      </w:r>
      <w:r w:rsidRPr="00474FAB">
        <w:rPr>
          <w:rFonts w:cstheme="minorHAnsi"/>
          <w:sz w:val="24"/>
          <w:szCs w:val="24"/>
          <w:lang w:val="en-US"/>
        </w:rPr>
        <w:t>hampered by granting design protection to features dictated solely by a technical function.</w:t>
      </w:r>
      <w:r w:rsidR="00611BBD">
        <w:rPr>
          <w:rFonts w:cstheme="minorHAnsi"/>
          <w:sz w:val="24"/>
          <w:szCs w:val="24"/>
          <w:lang w:val="en-US"/>
        </w:rPr>
        <w:t>’</w:t>
      </w:r>
      <w:r w:rsidRPr="00474FAB">
        <w:rPr>
          <w:rFonts w:cstheme="minorHAnsi"/>
          <w:sz w:val="24"/>
          <w:szCs w:val="24"/>
          <w:lang w:val="en-US"/>
        </w:rPr>
        <w:t xml:space="preserve"> All EU member states, including the UK, have adopted this ground of refusal, </w:t>
      </w:r>
      <w:r w:rsidR="00F1519F">
        <w:rPr>
          <w:rFonts w:cstheme="minorHAnsi"/>
          <w:sz w:val="24"/>
          <w:szCs w:val="24"/>
          <w:lang w:val="en-US"/>
        </w:rPr>
        <w:t>and the Court of Justice</w:t>
      </w:r>
      <w:r w:rsidR="005A3766">
        <w:rPr>
          <w:rFonts w:cstheme="minorHAnsi"/>
          <w:sz w:val="24"/>
          <w:szCs w:val="24"/>
          <w:lang w:val="en-US"/>
        </w:rPr>
        <w:t xml:space="preserve"> ha</w:t>
      </w:r>
      <w:r w:rsidR="00BE6338">
        <w:rPr>
          <w:rFonts w:cstheme="minorHAnsi"/>
          <w:sz w:val="24"/>
          <w:szCs w:val="24"/>
          <w:lang w:val="en-US"/>
        </w:rPr>
        <w:t>s</w:t>
      </w:r>
      <w:r w:rsidR="005A3766">
        <w:rPr>
          <w:rFonts w:cstheme="minorHAnsi"/>
          <w:sz w:val="24"/>
          <w:szCs w:val="24"/>
          <w:lang w:val="en-US"/>
        </w:rPr>
        <w:t xml:space="preserve"> ruled on the matter asserting that </w:t>
      </w:r>
      <w:r w:rsidR="009F15E0">
        <w:rPr>
          <w:rFonts w:cstheme="minorHAnsi"/>
          <w:sz w:val="24"/>
          <w:szCs w:val="24"/>
          <w:lang w:val="en-US"/>
        </w:rPr>
        <w:t>‘C</w:t>
      </w:r>
      <w:r w:rsidR="009F15E0" w:rsidRPr="009F15E0">
        <w:rPr>
          <w:rFonts w:cstheme="minorHAnsi"/>
          <w:sz w:val="24"/>
          <w:szCs w:val="24"/>
          <w:lang w:val="en-US"/>
        </w:rPr>
        <w:t>ommunity design does not subsist in features of appearance of a product which are solely dictated by its technical function</w:t>
      </w:r>
      <w:r w:rsidR="008219CE">
        <w:rPr>
          <w:rFonts w:cstheme="minorHAnsi"/>
          <w:sz w:val="24"/>
          <w:szCs w:val="24"/>
          <w:lang w:val="en-US"/>
        </w:rPr>
        <w:t>’.</w:t>
      </w:r>
      <w:r w:rsidR="008219CE">
        <w:rPr>
          <w:rStyle w:val="FootnoteReference"/>
          <w:rFonts w:cstheme="minorHAnsi"/>
          <w:sz w:val="24"/>
          <w:szCs w:val="24"/>
          <w:lang w:val="en-US"/>
        </w:rPr>
        <w:footnoteReference w:id="63"/>
      </w:r>
    </w:p>
    <w:p w14:paraId="4A50DE93" w14:textId="33AF15A8" w:rsidR="00AA28F8" w:rsidRPr="00474FAB" w:rsidRDefault="00AA28F8" w:rsidP="00AA28F8">
      <w:pPr>
        <w:jc w:val="both"/>
        <w:rPr>
          <w:rFonts w:cstheme="minorHAnsi"/>
          <w:sz w:val="24"/>
          <w:szCs w:val="24"/>
          <w:lang w:val="en-US"/>
        </w:rPr>
      </w:pPr>
      <w:r w:rsidRPr="00474FAB">
        <w:rPr>
          <w:rFonts w:cstheme="minorHAnsi"/>
          <w:sz w:val="24"/>
          <w:szCs w:val="24"/>
          <w:lang w:val="en-US"/>
        </w:rPr>
        <w:t>The reason for this is the existence of two theories around the EU: the 'multiplicity of forms' and the 'causality (or causative)' theory.</w:t>
      </w:r>
      <w:r w:rsidR="00563EDC" w:rsidRPr="00474FAB">
        <w:rPr>
          <w:rStyle w:val="FootnoteReference"/>
          <w:rFonts w:cstheme="minorHAnsi"/>
          <w:sz w:val="24"/>
          <w:szCs w:val="24"/>
          <w:lang w:val="en-US"/>
        </w:rPr>
        <w:t xml:space="preserve"> </w:t>
      </w:r>
      <w:r w:rsidR="00563EDC" w:rsidRPr="00474FAB">
        <w:rPr>
          <w:rStyle w:val="FootnoteReference"/>
          <w:rFonts w:cstheme="minorHAnsi"/>
          <w:sz w:val="24"/>
          <w:szCs w:val="24"/>
          <w:lang w:val="en-US"/>
        </w:rPr>
        <w:footnoteReference w:id="64"/>
      </w:r>
      <w:r w:rsidRPr="00474FAB">
        <w:rPr>
          <w:rFonts w:cstheme="minorHAnsi"/>
          <w:sz w:val="24"/>
          <w:szCs w:val="24"/>
          <w:lang w:val="en-US"/>
        </w:rPr>
        <w:t xml:space="preserve"> The former implies that if a technical function can be achieved through the use of alternative forms, the particular feature of the design is not determined 'solely' by its technical function and thus, not constrained by the function.</w:t>
      </w:r>
      <w:r w:rsidR="0017680F" w:rsidRPr="00474FAB">
        <w:rPr>
          <w:rStyle w:val="FootnoteReference"/>
          <w:rFonts w:cstheme="minorHAnsi"/>
          <w:sz w:val="24"/>
          <w:szCs w:val="24"/>
          <w:lang w:val="en-US"/>
        </w:rPr>
        <w:t xml:space="preserve"> </w:t>
      </w:r>
      <w:r w:rsidR="0017680F" w:rsidRPr="00474FAB">
        <w:rPr>
          <w:rStyle w:val="FootnoteReference"/>
          <w:rFonts w:cstheme="minorHAnsi"/>
          <w:sz w:val="24"/>
          <w:szCs w:val="24"/>
          <w:lang w:val="en-US"/>
        </w:rPr>
        <w:footnoteReference w:id="65"/>
      </w:r>
      <w:r w:rsidR="0017680F" w:rsidRPr="00474FAB">
        <w:rPr>
          <w:rFonts w:cstheme="minorHAnsi"/>
          <w:sz w:val="24"/>
          <w:szCs w:val="24"/>
          <w:lang w:val="en-US"/>
        </w:rPr>
        <w:t xml:space="preserve"> </w:t>
      </w:r>
      <w:r w:rsidRPr="00474FAB">
        <w:rPr>
          <w:rFonts w:cstheme="minorHAnsi"/>
          <w:sz w:val="24"/>
          <w:szCs w:val="24"/>
          <w:lang w:val="en-US"/>
        </w:rPr>
        <w:t xml:space="preserve"> The latter theory is based on the intention of the designer and thus, alternative forms are not considered. In other words, the design is chosen because of its technical function rather than the aesthetic consideration.</w:t>
      </w:r>
      <w:r w:rsidR="00467332" w:rsidRPr="00474FAB">
        <w:rPr>
          <w:rStyle w:val="FootnoteReference"/>
          <w:rFonts w:cstheme="minorHAnsi"/>
          <w:sz w:val="24"/>
          <w:szCs w:val="24"/>
          <w:lang w:val="en-US"/>
        </w:rPr>
        <w:t xml:space="preserve"> </w:t>
      </w:r>
      <w:r w:rsidR="00467332" w:rsidRPr="00474FAB">
        <w:rPr>
          <w:rStyle w:val="FootnoteReference"/>
          <w:rFonts w:cstheme="minorHAnsi"/>
          <w:sz w:val="24"/>
          <w:szCs w:val="24"/>
          <w:lang w:val="en-US"/>
        </w:rPr>
        <w:footnoteReference w:id="66"/>
      </w:r>
      <w:r w:rsidR="00467332" w:rsidRPr="00474FAB">
        <w:rPr>
          <w:rFonts w:cstheme="minorHAnsi"/>
          <w:sz w:val="24"/>
          <w:szCs w:val="24"/>
          <w:lang w:val="en-US"/>
        </w:rPr>
        <w:t xml:space="preserve"> </w:t>
      </w:r>
      <w:r w:rsidRPr="00474FAB">
        <w:rPr>
          <w:rFonts w:cstheme="minorHAnsi"/>
          <w:sz w:val="24"/>
          <w:szCs w:val="24"/>
          <w:lang w:val="en-US"/>
        </w:rPr>
        <w:t xml:space="preserve">However, in DOCERAM, the CJEU seems to have followed the causality theory, arguing that technical function is the only factor which determines, and that the existence of alternative designs is not decisive. Yet, the court continues to suggest that information as to the existence of alternative designs should be part of the criteria when </w:t>
      </w:r>
      <w:proofErr w:type="spellStart"/>
      <w:r w:rsidRPr="00474FAB">
        <w:rPr>
          <w:rFonts w:cstheme="minorHAnsi"/>
          <w:sz w:val="24"/>
          <w:szCs w:val="24"/>
          <w:lang w:val="en-US"/>
        </w:rPr>
        <w:t>analysing</w:t>
      </w:r>
      <w:proofErr w:type="spellEnd"/>
      <w:r w:rsidRPr="00474FAB">
        <w:rPr>
          <w:rFonts w:cstheme="minorHAnsi"/>
          <w:sz w:val="24"/>
          <w:szCs w:val="24"/>
          <w:lang w:val="en-US"/>
        </w:rPr>
        <w:t xml:space="preserve"> the ground. On one hand, courts within the EU, including the UK, have granted protection when a variety of shapes can fulfil the same function. For instance, his </w:t>
      </w:r>
      <w:proofErr w:type="spellStart"/>
      <w:r w:rsidRPr="00474FAB">
        <w:rPr>
          <w:rFonts w:cstheme="minorHAnsi"/>
          <w:sz w:val="24"/>
          <w:szCs w:val="24"/>
          <w:lang w:val="en-US"/>
        </w:rPr>
        <w:t>Honour</w:t>
      </w:r>
      <w:proofErr w:type="spellEnd"/>
      <w:r w:rsidRPr="00474FAB">
        <w:rPr>
          <w:rFonts w:cstheme="minorHAnsi"/>
          <w:sz w:val="24"/>
          <w:szCs w:val="24"/>
          <w:lang w:val="en-US"/>
        </w:rPr>
        <w:t xml:space="preserve"> Judge </w:t>
      </w:r>
      <w:proofErr w:type="spellStart"/>
      <w:r w:rsidRPr="00474FAB">
        <w:rPr>
          <w:rFonts w:cstheme="minorHAnsi"/>
          <w:sz w:val="24"/>
          <w:szCs w:val="24"/>
          <w:lang w:val="en-US"/>
        </w:rPr>
        <w:t>Fysh</w:t>
      </w:r>
      <w:proofErr w:type="spellEnd"/>
      <w:r w:rsidRPr="00474FAB">
        <w:rPr>
          <w:rFonts w:cstheme="minorHAnsi"/>
          <w:sz w:val="24"/>
          <w:szCs w:val="24"/>
          <w:lang w:val="en-US"/>
        </w:rPr>
        <w:t xml:space="preserve"> QC noted in </w:t>
      </w:r>
      <w:r w:rsidRPr="00474FAB">
        <w:rPr>
          <w:rFonts w:cstheme="minorHAnsi"/>
          <w:i/>
          <w:iCs/>
          <w:sz w:val="24"/>
          <w:szCs w:val="24"/>
          <w:lang w:val="en-US"/>
        </w:rPr>
        <w:t>Landor &amp; Hawa International Ltd</w:t>
      </w:r>
      <w:r w:rsidRPr="00474FAB">
        <w:rPr>
          <w:rFonts w:cstheme="minorHAnsi"/>
          <w:sz w:val="24"/>
          <w:szCs w:val="24"/>
          <w:lang w:val="en-US"/>
        </w:rPr>
        <w:t xml:space="preserve"> that the word ‘solely dictated by’ meant driven without option.</w:t>
      </w:r>
      <w:r w:rsidR="00F94C7C" w:rsidRPr="00474FAB">
        <w:rPr>
          <w:rStyle w:val="FootnoteReference"/>
          <w:rFonts w:cstheme="minorHAnsi"/>
          <w:sz w:val="24"/>
          <w:szCs w:val="24"/>
          <w:lang w:val="en-US"/>
        </w:rPr>
        <w:t xml:space="preserve"> </w:t>
      </w:r>
      <w:r w:rsidR="00F94C7C" w:rsidRPr="00474FAB">
        <w:rPr>
          <w:rStyle w:val="FootnoteReference"/>
          <w:rFonts w:cstheme="minorHAnsi"/>
          <w:sz w:val="24"/>
          <w:szCs w:val="24"/>
          <w:lang w:val="en-US"/>
        </w:rPr>
        <w:footnoteReference w:id="67"/>
      </w:r>
      <w:r w:rsidR="00F94C7C" w:rsidRPr="00474FAB">
        <w:rPr>
          <w:rFonts w:cstheme="minorHAnsi"/>
          <w:sz w:val="24"/>
          <w:szCs w:val="24"/>
          <w:lang w:val="en-US"/>
        </w:rPr>
        <w:t xml:space="preserve"> </w:t>
      </w:r>
      <w:r w:rsidRPr="00474FAB">
        <w:rPr>
          <w:rFonts w:cstheme="minorHAnsi"/>
          <w:sz w:val="24"/>
          <w:szCs w:val="24"/>
          <w:lang w:val="en-US"/>
        </w:rPr>
        <w:t xml:space="preserve"> And on the other hand, French courts observe that when a </w:t>
      </w:r>
      <w:r w:rsidRPr="00474FAB">
        <w:rPr>
          <w:rFonts w:cstheme="minorHAnsi"/>
          <w:sz w:val="24"/>
          <w:szCs w:val="24"/>
          <w:lang w:val="en-US"/>
        </w:rPr>
        <w:lastRenderedPageBreak/>
        <w:t>product design has a functional character, but the design comes from ‘aesthetic research and a creative effort’ like a reversible Hermes’ bag, it is capable of being protected.</w:t>
      </w:r>
      <w:r w:rsidR="00146752" w:rsidRPr="00474FAB">
        <w:rPr>
          <w:rStyle w:val="FootnoteReference"/>
          <w:rFonts w:cstheme="minorHAnsi"/>
          <w:sz w:val="24"/>
          <w:szCs w:val="24"/>
          <w:lang w:val="en-US"/>
        </w:rPr>
        <w:footnoteReference w:id="68"/>
      </w:r>
    </w:p>
    <w:p w14:paraId="518C7E37" w14:textId="2D0AA13F" w:rsidR="00AA28F8" w:rsidRPr="00474FAB" w:rsidRDefault="00AA28F8" w:rsidP="00AA28F8">
      <w:pPr>
        <w:jc w:val="both"/>
        <w:rPr>
          <w:rFonts w:cstheme="minorHAnsi"/>
          <w:sz w:val="24"/>
          <w:szCs w:val="24"/>
          <w:lang w:val="en-US"/>
        </w:rPr>
      </w:pPr>
      <w:r w:rsidRPr="00474FAB">
        <w:rPr>
          <w:rFonts w:cstheme="minorHAnsi"/>
          <w:sz w:val="24"/>
          <w:szCs w:val="24"/>
          <w:lang w:val="en-US"/>
        </w:rPr>
        <w:t xml:space="preserve">Another ground of refusal is that of </w:t>
      </w:r>
      <w:r w:rsidR="00F733C9">
        <w:rPr>
          <w:rFonts w:cstheme="minorHAnsi"/>
          <w:sz w:val="24"/>
          <w:szCs w:val="24"/>
          <w:lang w:val="en-US"/>
        </w:rPr>
        <w:t xml:space="preserve">being </w:t>
      </w:r>
      <w:r w:rsidRPr="00474FAB">
        <w:rPr>
          <w:rFonts w:cstheme="minorHAnsi"/>
          <w:sz w:val="24"/>
          <w:szCs w:val="24"/>
          <w:lang w:val="en-US"/>
        </w:rPr>
        <w:t>contrary to morality and or public policy</w:t>
      </w:r>
      <w:r w:rsidR="00146752" w:rsidRPr="00474FAB">
        <w:rPr>
          <w:rStyle w:val="FootnoteReference"/>
          <w:rFonts w:cstheme="minorHAnsi"/>
          <w:sz w:val="24"/>
          <w:szCs w:val="24"/>
          <w:lang w:val="en-US"/>
        </w:rPr>
        <w:footnoteReference w:id="69"/>
      </w:r>
      <w:r w:rsidR="00146752" w:rsidRPr="00474FAB">
        <w:rPr>
          <w:rFonts w:cstheme="minorHAnsi"/>
          <w:sz w:val="24"/>
          <w:szCs w:val="24"/>
          <w:lang w:val="en-US"/>
        </w:rPr>
        <w:t xml:space="preserve"> </w:t>
      </w:r>
      <w:r w:rsidRPr="00474FAB">
        <w:rPr>
          <w:rFonts w:cstheme="minorHAnsi"/>
          <w:sz w:val="24"/>
          <w:szCs w:val="24"/>
          <w:lang w:val="en-US"/>
        </w:rPr>
        <w:t xml:space="preserve"> which aligns with other areas in intellectual property such as </w:t>
      </w:r>
      <w:proofErr w:type="gramStart"/>
      <w:r w:rsidRPr="00474FAB">
        <w:rPr>
          <w:rFonts w:cstheme="minorHAnsi"/>
          <w:sz w:val="24"/>
          <w:szCs w:val="24"/>
          <w:lang w:val="en-US"/>
        </w:rPr>
        <w:t>trade mark</w:t>
      </w:r>
      <w:proofErr w:type="gramEnd"/>
      <w:r w:rsidRPr="00474FAB">
        <w:rPr>
          <w:rFonts w:cstheme="minorHAnsi"/>
          <w:sz w:val="24"/>
          <w:szCs w:val="24"/>
          <w:lang w:val="en-US"/>
        </w:rPr>
        <w:t xml:space="preserve"> law, patent and copyright. The test applied is whether ‘the moral principles of rights-thinking members of the public would think it very wrong for the law to grant protection’.</w:t>
      </w:r>
      <w:r w:rsidR="0041165A" w:rsidRPr="00474FAB">
        <w:rPr>
          <w:rStyle w:val="FootnoteReference"/>
          <w:rFonts w:cstheme="minorHAnsi"/>
          <w:sz w:val="24"/>
          <w:szCs w:val="24"/>
          <w:lang w:val="en-US"/>
        </w:rPr>
        <w:t xml:space="preserve"> </w:t>
      </w:r>
      <w:r w:rsidR="0041165A" w:rsidRPr="00474FAB">
        <w:rPr>
          <w:rStyle w:val="FootnoteReference"/>
          <w:rFonts w:cstheme="minorHAnsi"/>
          <w:sz w:val="24"/>
          <w:szCs w:val="24"/>
          <w:lang w:val="en-US"/>
        </w:rPr>
        <w:footnoteReference w:id="70"/>
      </w:r>
      <w:r w:rsidR="0041165A" w:rsidRPr="00474FAB">
        <w:rPr>
          <w:rFonts w:cstheme="minorHAnsi"/>
          <w:sz w:val="24"/>
          <w:szCs w:val="24"/>
          <w:lang w:val="en-US"/>
        </w:rPr>
        <w:t xml:space="preserve"> </w:t>
      </w:r>
      <w:r w:rsidRPr="00474FAB">
        <w:rPr>
          <w:rFonts w:cstheme="minorHAnsi"/>
          <w:sz w:val="24"/>
          <w:szCs w:val="24"/>
          <w:lang w:val="en-US"/>
        </w:rPr>
        <w:t xml:space="preserve"> This test can be used during the application process or as a ground for invalidity. </w:t>
      </w:r>
      <w:r w:rsidR="0041165A" w:rsidRPr="00474FAB">
        <w:rPr>
          <w:rStyle w:val="FootnoteReference"/>
          <w:rFonts w:cstheme="minorHAnsi"/>
          <w:sz w:val="24"/>
          <w:szCs w:val="24"/>
          <w:lang w:val="en-US"/>
        </w:rPr>
        <w:footnoteReference w:id="71"/>
      </w:r>
    </w:p>
    <w:p w14:paraId="37287FCD" w14:textId="0C8AD639" w:rsidR="00E558E4" w:rsidRPr="00474FAB" w:rsidRDefault="00AA28F8" w:rsidP="001627EE">
      <w:pPr>
        <w:jc w:val="both"/>
        <w:rPr>
          <w:rFonts w:cstheme="minorHAnsi"/>
          <w:sz w:val="24"/>
          <w:szCs w:val="24"/>
          <w:lang w:val="en-US"/>
        </w:rPr>
      </w:pPr>
      <w:r w:rsidRPr="00474FAB">
        <w:rPr>
          <w:rFonts w:cstheme="minorHAnsi"/>
          <w:sz w:val="24"/>
          <w:szCs w:val="24"/>
          <w:lang w:val="en-US"/>
        </w:rPr>
        <w:t xml:space="preserve">Designs can be registered either at the EU level or at the national level and because the design law is </w:t>
      </w:r>
      <w:proofErr w:type="spellStart"/>
      <w:r w:rsidRPr="00474FAB">
        <w:rPr>
          <w:rFonts w:cstheme="minorHAnsi"/>
          <w:sz w:val="24"/>
          <w:szCs w:val="24"/>
          <w:lang w:val="en-US"/>
        </w:rPr>
        <w:t>harmonised</w:t>
      </w:r>
      <w:proofErr w:type="spellEnd"/>
      <w:r w:rsidRPr="00474FAB">
        <w:rPr>
          <w:rFonts w:cstheme="minorHAnsi"/>
          <w:sz w:val="24"/>
          <w:szCs w:val="24"/>
          <w:lang w:val="en-US"/>
        </w:rPr>
        <w:t xml:space="preserve"> among EU member states, the system is similar among them except for the timeframe for registration as well as the examination phase between registries which may vary slightly.</w:t>
      </w:r>
      <w:r w:rsidR="00D64729" w:rsidRPr="00474FAB">
        <w:rPr>
          <w:rStyle w:val="FootnoteReference"/>
          <w:rFonts w:cstheme="minorHAnsi"/>
          <w:sz w:val="24"/>
          <w:szCs w:val="24"/>
          <w:lang w:val="en-US"/>
        </w:rPr>
        <w:footnoteReference w:id="72"/>
      </w:r>
    </w:p>
    <w:p w14:paraId="4FDFC310" w14:textId="5BB483AA" w:rsidR="00CE0A54" w:rsidRPr="00474FAB" w:rsidRDefault="00CE0A54" w:rsidP="001627EE">
      <w:pPr>
        <w:pStyle w:val="ListParagraph"/>
        <w:numPr>
          <w:ilvl w:val="0"/>
          <w:numId w:val="4"/>
        </w:numPr>
        <w:jc w:val="both"/>
        <w:rPr>
          <w:rFonts w:cstheme="minorHAnsi"/>
          <w:sz w:val="24"/>
          <w:szCs w:val="24"/>
          <w:lang w:val="en-US"/>
        </w:rPr>
      </w:pPr>
      <w:r w:rsidRPr="00474FAB">
        <w:rPr>
          <w:rFonts w:cstheme="minorHAnsi"/>
          <w:sz w:val="24"/>
          <w:szCs w:val="24"/>
          <w:lang w:val="en-US"/>
        </w:rPr>
        <w:t xml:space="preserve">Unregistered Community Designs </w:t>
      </w:r>
      <w:r w:rsidR="009054E0" w:rsidRPr="00474FAB">
        <w:rPr>
          <w:rFonts w:cstheme="minorHAnsi"/>
          <w:sz w:val="24"/>
          <w:szCs w:val="24"/>
          <w:lang w:val="en-US"/>
        </w:rPr>
        <w:t xml:space="preserve">(URD) </w:t>
      </w:r>
    </w:p>
    <w:p w14:paraId="24288119" w14:textId="5014591D" w:rsidR="003D7879" w:rsidRPr="00474FAB" w:rsidRDefault="003D7879" w:rsidP="003D7879">
      <w:pPr>
        <w:jc w:val="both"/>
        <w:rPr>
          <w:rFonts w:cstheme="minorHAnsi"/>
          <w:sz w:val="24"/>
          <w:szCs w:val="24"/>
          <w:lang w:val="en-US"/>
        </w:rPr>
      </w:pPr>
      <w:r w:rsidRPr="00474FAB">
        <w:rPr>
          <w:rFonts w:cstheme="minorHAnsi"/>
          <w:sz w:val="24"/>
          <w:szCs w:val="24"/>
          <w:lang w:val="en-US"/>
        </w:rPr>
        <w:t>In addition to the protection provided by registered designs, the EU also protects unregistered designs through the provision of the Unregistered Community Design (UCD). This protection lasts for three years from the date the design is first made available to the public. It is intended to provide short-term protection for industries with a short shelf-life due to their seasonal nature, such as the clothing industry,</w:t>
      </w:r>
      <w:r w:rsidR="007B2B7D" w:rsidRPr="00474FAB">
        <w:rPr>
          <w:rStyle w:val="FootnoteReference"/>
          <w:rFonts w:cstheme="minorHAnsi"/>
          <w:sz w:val="24"/>
          <w:szCs w:val="24"/>
          <w:lang w:val="en-US"/>
        </w:rPr>
        <w:t xml:space="preserve"> </w:t>
      </w:r>
      <w:r w:rsidR="007B2B7D" w:rsidRPr="00474FAB">
        <w:rPr>
          <w:rStyle w:val="FootnoteReference"/>
          <w:rFonts w:cstheme="minorHAnsi"/>
          <w:sz w:val="24"/>
          <w:szCs w:val="24"/>
          <w:lang w:val="en-US"/>
        </w:rPr>
        <w:footnoteReference w:id="73"/>
      </w:r>
      <w:r w:rsidRPr="00474FAB">
        <w:rPr>
          <w:rFonts w:cstheme="minorHAnsi"/>
          <w:sz w:val="24"/>
          <w:szCs w:val="24"/>
          <w:lang w:val="en-US"/>
        </w:rPr>
        <w:t xml:space="preserve"> or to provide temporary protection while designers/proprietors consider registration. </w:t>
      </w:r>
      <w:r w:rsidR="007B2B7D" w:rsidRPr="00474FAB">
        <w:rPr>
          <w:rStyle w:val="FootnoteReference"/>
          <w:rFonts w:cstheme="minorHAnsi"/>
          <w:sz w:val="24"/>
          <w:szCs w:val="24"/>
          <w:lang w:val="en-US"/>
        </w:rPr>
        <w:footnoteReference w:id="74"/>
      </w:r>
    </w:p>
    <w:p w14:paraId="40ED5CF8" w14:textId="56318ECE" w:rsidR="003D7879" w:rsidRPr="00474FAB" w:rsidRDefault="003D7879" w:rsidP="003D7879">
      <w:pPr>
        <w:jc w:val="both"/>
        <w:rPr>
          <w:rFonts w:cstheme="minorHAnsi"/>
          <w:sz w:val="24"/>
          <w:szCs w:val="24"/>
          <w:lang w:val="en-US"/>
        </w:rPr>
      </w:pPr>
      <w:r w:rsidRPr="00474FAB">
        <w:rPr>
          <w:rFonts w:cstheme="minorHAnsi"/>
          <w:sz w:val="24"/>
          <w:szCs w:val="24"/>
          <w:lang w:val="en-US"/>
        </w:rPr>
        <w:t xml:space="preserve">Buchalska observes that this right is based on British legislation, which was created to 'fill in the gap between copyrights and design protection for artistic craftsmanship'. </w:t>
      </w:r>
      <w:r w:rsidR="003F650D" w:rsidRPr="00474FAB">
        <w:rPr>
          <w:rStyle w:val="FootnoteReference"/>
          <w:rFonts w:cstheme="minorHAnsi"/>
          <w:sz w:val="24"/>
          <w:szCs w:val="24"/>
          <w:lang w:val="en-US"/>
        </w:rPr>
        <w:footnoteReference w:id="75"/>
      </w:r>
      <w:r w:rsidR="003F650D" w:rsidRPr="00474FAB">
        <w:rPr>
          <w:rFonts w:cstheme="minorHAnsi"/>
          <w:sz w:val="24"/>
          <w:szCs w:val="24"/>
          <w:lang w:val="en-US"/>
        </w:rPr>
        <w:t xml:space="preserve"> </w:t>
      </w:r>
      <w:r w:rsidRPr="00474FAB">
        <w:rPr>
          <w:rFonts w:cstheme="minorHAnsi"/>
          <w:sz w:val="24"/>
          <w:szCs w:val="24"/>
          <w:lang w:val="en-US"/>
        </w:rPr>
        <w:t xml:space="preserve">In an empirical research study by Church and others, it was found that unregistered designs were of great utility in the fashion industry. </w:t>
      </w:r>
      <w:r w:rsidR="003F650D" w:rsidRPr="00474FAB">
        <w:rPr>
          <w:rStyle w:val="FootnoteReference"/>
          <w:rFonts w:cstheme="minorHAnsi"/>
          <w:sz w:val="24"/>
          <w:szCs w:val="24"/>
          <w:lang w:val="en-US"/>
        </w:rPr>
        <w:footnoteReference w:id="76"/>
      </w:r>
      <w:r w:rsidR="003F650D" w:rsidRPr="00474FAB">
        <w:rPr>
          <w:rFonts w:cstheme="minorHAnsi"/>
          <w:sz w:val="24"/>
          <w:szCs w:val="24"/>
          <w:lang w:val="en-US"/>
        </w:rPr>
        <w:t xml:space="preserve"> </w:t>
      </w:r>
      <w:r w:rsidRPr="00474FAB">
        <w:rPr>
          <w:rFonts w:cstheme="minorHAnsi"/>
          <w:sz w:val="24"/>
          <w:szCs w:val="24"/>
          <w:lang w:val="en-US"/>
        </w:rPr>
        <w:t>Moreover, Bently observes that the 'textile and fashion industries have tended to rely more on unregistered design right'.</w:t>
      </w:r>
      <w:r w:rsidR="003F650D" w:rsidRPr="00474FAB">
        <w:rPr>
          <w:rStyle w:val="FootnoteReference"/>
          <w:rFonts w:cstheme="minorHAnsi"/>
          <w:sz w:val="24"/>
          <w:szCs w:val="24"/>
          <w:lang w:val="en-US"/>
        </w:rPr>
        <w:t xml:space="preserve"> </w:t>
      </w:r>
      <w:r w:rsidR="003F650D" w:rsidRPr="00474FAB">
        <w:rPr>
          <w:rStyle w:val="FootnoteReference"/>
          <w:rFonts w:cstheme="minorHAnsi"/>
          <w:sz w:val="24"/>
          <w:szCs w:val="24"/>
          <w:lang w:val="en-US"/>
        </w:rPr>
        <w:footnoteReference w:id="77"/>
      </w:r>
    </w:p>
    <w:p w14:paraId="45D1A194" w14:textId="11A35ECB" w:rsidR="003D7879" w:rsidRPr="00474FAB" w:rsidRDefault="003D7879" w:rsidP="003D7879">
      <w:pPr>
        <w:jc w:val="both"/>
        <w:rPr>
          <w:rFonts w:cstheme="minorHAnsi"/>
          <w:sz w:val="24"/>
          <w:szCs w:val="24"/>
          <w:lang w:val="en-US"/>
        </w:rPr>
      </w:pPr>
      <w:r w:rsidRPr="00474FAB">
        <w:rPr>
          <w:rFonts w:cstheme="minorHAnsi"/>
          <w:sz w:val="24"/>
          <w:szCs w:val="24"/>
          <w:lang w:val="en-US"/>
        </w:rPr>
        <w:t xml:space="preserve">Unregistered design right is flexible, and no formal application is needed. Therefore, the right is automatically granted upon publication and can protect the whole or part of a product, </w:t>
      </w:r>
      <w:r w:rsidR="003F650D" w:rsidRPr="00474FAB">
        <w:rPr>
          <w:rStyle w:val="FootnoteReference"/>
          <w:rFonts w:cstheme="minorHAnsi"/>
          <w:sz w:val="24"/>
          <w:szCs w:val="24"/>
          <w:lang w:val="en-US"/>
        </w:rPr>
        <w:footnoteReference w:id="78"/>
      </w:r>
      <w:r w:rsidR="003F650D" w:rsidRPr="00474FAB">
        <w:rPr>
          <w:rFonts w:cstheme="minorHAnsi"/>
          <w:sz w:val="24"/>
          <w:szCs w:val="24"/>
          <w:lang w:val="en-US"/>
        </w:rPr>
        <w:t xml:space="preserve"> </w:t>
      </w:r>
      <w:r w:rsidRPr="00474FAB">
        <w:rPr>
          <w:rFonts w:cstheme="minorHAnsi"/>
          <w:sz w:val="24"/>
          <w:szCs w:val="24"/>
          <w:lang w:val="en-US"/>
        </w:rPr>
        <w:t xml:space="preserve">including its shape, texture, and even surface decoration, including 2D features. To qualify for protection, a design must meet the same criteria as a registered design, that is, it must be novel (new) and have individual character. </w:t>
      </w:r>
    </w:p>
    <w:p w14:paraId="60EB627E" w14:textId="3B225807" w:rsidR="003D7879" w:rsidRPr="00474FAB" w:rsidRDefault="003D7879" w:rsidP="003D7879">
      <w:pPr>
        <w:jc w:val="both"/>
        <w:rPr>
          <w:rFonts w:cstheme="minorHAnsi"/>
          <w:sz w:val="24"/>
          <w:szCs w:val="24"/>
          <w:lang w:val="en-US"/>
        </w:rPr>
      </w:pPr>
      <w:r w:rsidRPr="00474FAB">
        <w:rPr>
          <w:rFonts w:cstheme="minorHAnsi"/>
          <w:sz w:val="24"/>
          <w:szCs w:val="24"/>
          <w:lang w:val="en-US"/>
        </w:rPr>
        <w:lastRenderedPageBreak/>
        <w:t xml:space="preserve">In the case of </w:t>
      </w:r>
      <w:r w:rsidRPr="00474FAB">
        <w:rPr>
          <w:rFonts w:cstheme="minorHAnsi"/>
          <w:i/>
          <w:iCs/>
          <w:sz w:val="24"/>
          <w:szCs w:val="24"/>
          <w:lang w:val="en-US"/>
        </w:rPr>
        <w:t xml:space="preserve">Ferrari </w:t>
      </w:r>
      <w:proofErr w:type="spellStart"/>
      <w:r w:rsidRPr="00474FAB">
        <w:rPr>
          <w:rFonts w:cstheme="minorHAnsi"/>
          <w:i/>
          <w:iCs/>
          <w:sz w:val="24"/>
          <w:szCs w:val="24"/>
          <w:lang w:val="en-US"/>
        </w:rPr>
        <w:t>SpA</w:t>
      </w:r>
      <w:proofErr w:type="spellEnd"/>
      <w:r w:rsidRPr="00474FAB">
        <w:rPr>
          <w:rFonts w:cstheme="minorHAnsi"/>
          <w:i/>
          <w:iCs/>
          <w:sz w:val="24"/>
          <w:szCs w:val="24"/>
          <w:lang w:val="en-US"/>
        </w:rPr>
        <w:t xml:space="preserve"> v Mansory Design Holding GmbH</w:t>
      </w:r>
      <w:r w:rsidRPr="00474FAB">
        <w:rPr>
          <w:rFonts w:cstheme="minorHAnsi"/>
          <w:sz w:val="24"/>
          <w:szCs w:val="24"/>
          <w:lang w:val="en-US"/>
        </w:rPr>
        <w:t>, the CJEU noted the extent of unregistered design protection. Following the publication of an image of the entire product (a photograph of the Ferrari FXX K), parts of the products were protected under unregistered design due to the appearance of the parts being clearly identifiable.</w:t>
      </w:r>
      <w:r w:rsidR="00BC6C6A" w:rsidRPr="00474FAB">
        <w:rPr>
          <w:rStyle w:val="FootnoteReference"/>
          <w:rFonts w:cstheme="minorHAnsi"/>
          <w:sz w:val="24"/>
          <w:szCs w:val="24"/>
        </w:rPr>
        <w:t xml:space="preserve"> </w:t>
      </w:r>
      <w:r w:rsidR="00BC6C6A" w:rsidRPr="00474FAB">
        <w:rPr>
          <w:rStyle w:val="FootnoteReference"/>
          <w:rFonts w:cstheme="minorHAnsi"/>
          <w:sz w:val="24"/>
          <w:szCs w:val="24"/>
        </w:rPr>
        <w:footnoteReference w:id="79"/>
      </w:r>
      <w:r w:rsidR="00BC6C6A" w:rsidRPr="00474FAB">
        <w:rPr>
          <w:rFonts w:cstheme="minorHAnsi"/>
          <w:sz w:val="24"/>
          <w:szCs w:val="24"/>
        </w:rPr>
        <w:t xml:space="preserve"> </w:t>
      </w:r>
      <w:r w:rsidRPr="00474FAB">
        <w:rPr>
          <w:rFonts w:cstheme="minorHAnsi"/>
          <w:sz w:val="24"/>
          <w:szCs w:val="24"/>
          <w:lang w:val="en-US"/>
        </w:rPr>
        <w:t xml:space="preserve"> </w:t>
      </w:r>
    </w:p>
    <w:p w14:paraId="2C7158DC" w14:textId="50C20816" w:rsidR="003D7879" w:rsidRPr="00474FAB" w:rsidRDefault="003D7879" w:rsidP="003D7879">
      <w:pPr>
        <w:jc w:val="both"/>
        <w:rPr>
          <w:rFonts w:cstheme="minorHAnsi"/>
          <w:sz w:val="24"/>
          <w:szCs w:val="24"/>
          <w:lang w:val="en-US"/>
        </w:rPr>
      </w:pPr>
      <w:r w:rsidRPr="00474FAB">
        <w:rPr>
          <w:rFonts w:cstheme="minorHAnsi"/>
          <w:sz w:val="24"/>
          <w:szCs w:val="24"/>
          <w:lang w:val="en-US"/>
        </w:rPr>
        <w:t>In this era of the fast fashion industry, where trends are changing rapidly, obtaining unregistered design protection is beneficial to the industry. The scope of protection is generally narrower than that of registered design, which provides a more comprehensive and secure form of protection. For instance, a proprietor of a registered design can object to the use of a design even if such design is independently created by a third party. This is not the case for unregistered design, as infringement only occurs when the design has been copied.</w:t>
      </w:r>
      <w:r w:rsidR="00686B55" w:rsidRPr="00474FAB">
        <w:rPr>
          <w:rStyle w:val="FootnoteReference"/>
          <w:rFonts w:cstheme="minorHAnsi"/>
          <w:sz w:val="24"/>
          <w:szCs w:val="24"/>
          <w:lang w:val="en-US"/>
        </w:rPr>
        <w:footnoteReference w:id="80"/>
      </w:r>
      <w:r w:rsidR="00686B55" w:rsidRPr="00474FAB">
        <w:rPr>
          <w:rFonts w:cstheme="minorHAnsi"/>
          <w:sz w:val="24"/>
          <w:szCs w:val="24"/>
          <w:lang w:val="en-US"/>
        </w:rPr>
        <w:t xml:space="preserve"> </w:t>
      </w:r>
      <w:r w:rsidRPr="00474FAB">
        <w:rPr>
          <w:rFonts w:cstheme="minorHAnsi"/>
          <w:sz w:val="24"/>
          <w:szCs w:val="24"/>
          <w:lang w:val="en-US"/>
        </w:rPr>
        <w:t>Moreover, infringement is assessed by the similarities rather than the differences,</w:t>
      </w:r>
      <w:r w:rsidR="008E04AF" w:rsidRPr="00474FAB">
        <w:rPr>
          <w:rStyle w:val="FootnoteReference"/>
          <w:rFonts w:cstheme="minorHAnsi"/>
          <w:sz w:val="24"/>
          <w:szCs w:val="24"/>
          <w:lang w:val="en-US"/>
        </w:rPr>
        <w:t xml:space="preserve"> </w:t>
      </w:r>
      <w:r w:rsidR="008E04AF" w:rsidRPr="00474FAB">
        <w:rPr>
          <w:rStyle w:val="FootnoteReference"/>
          <w:rFonts w:cstheme="minorHAnsi"/>
          <w:sz w:val="24"/>
          <w:szCs w:val="24"/>
          <w:lang w:val="en-US"/>
        </w:rPr>
        <w:footnoteReference w:id="81"/>
      </w:r>
      <w:r w:rsidR="008E04AF" w:rsidRPr="00474FAB">
        <w:rPr>
          <w:rFonts w:cstheme="minorHAnsi"/>
          <w:sz w:val="24"/>
          <w:szCs w:val="24"/>
          <w:lang w:val="en-US"/>
        </w:rPr>
        <w:t xml:space="preserve"> </w:t>
      </w:r>
      <w:r w:rsidRPr="00474FAB">
        <w:rPr>
          <w:rFonts w:cstheme="minorHAnsi"/>
          <w:sz w:val="24"/>
          <w:szCs w:val="24"/>
          <w:lang w:val="en-US"/>
        </w:rPr>
        <w:t xml:space="preserve"> focusing on the overall impression.</w:t>
      </w:r>
      <w:r w:rsidR="008E04AF" w:rsidRPr="00474FAB">
        <w:rPr>
          <w:rStyle w:val="FootnoteReference"/>
          <w:rFonts w:cstheme="minorHAnsi"/>
          <w:sz w:val="24"/>
          <w:szCs w:val="24"/>
          <w:lang w:val="en-US"/>
        </w:rPr>
        <w:t xml:space="preserve"> </w:t>
      </w:r>
      <w:r w:rsidR="008E04AF" w:rsidRPr="00474FAB">
        <w:rPr>
          <w:rStyle w:val="FootnoteReference"/>
          <w:rFonts w:cstheme="minorHAnsi"/>
          <w:sz w:val="24"/>
          <w:szCs w:val="24"/>
          <w:lang w:val="en-US"/>
        </w:rPr>
        <w:footnoteReference w:id="82"/>
      </w:r>
    </w:p>
    <w:p w14:paraId="1F4CE597" w14:textId="77777777" w:rsidR="003D7879" w:rsidRPr="00474FAB" w:rsidRDefault="003D7879" w:rsidP="003D7879">
      <w:pPr>
        <w:jc w:val="both"/>
        <w:rPr>
          <w:rFonts w:cstheme="minorHAnsi"/>
          <w:sz w:val="24"/>
          <w:szCs w:val="24"/>
          <w:lang w:val="en-US"/>
        </w:rPr>
      </w:pPr>
      <w:r w:rsidRPr="00474FAB">
        <w:rPr>
          <w:rFonts w:cstheme="minorHAnsi"/>
          <w:sz w:val="24"/>
          <w:szCs w:val="24"/>
          <w:lang w:val="en-US"/>
        </w:rPr>
        <w:t>Both registered and unregistered design protections encourage creativity within the fashion industry in the EU. It is left to designers and the industry to choose the form of protection that best suits their needs.</w:t>
      </w:r>
    </w:p>
    <w:p w14:paraId="7CE876E4" w14:textId="32F81095" w:rsidR="0039390B" w:rsidRDefault="001703F7" w:rsidP="003B682F">
      <w:pPr>
        <w:pStyle w:val="ListParagraph"/>
        <w:numPr>
          <w:ilvl w:val="0"/>
          <w:numId w:val="4"/>
        </w:numPr>
        <w:jc w:val="both"/>
        <w:rPr>
          <w:rFonts w:cstheme="minorHAnsi"/>
          <w:sz w:val="24"/>
          <w:szCs w:val="24"/>
          <w:lang w:val="en-US"/>
        </w:rPr>
      </w:pPr>
      <w:r w:rsidRPr="00474FAB">
        <w:rPr>
          <w:rFonts w:cstheme="minorHAnsi"/>
          <w:sz w:val="24"/>
          <w:szCs w:val="24"/>
          <w:lang w:val="en-US"/>
        </w:rPr>
        <w:t xml:space="preserve">Ownership of Design in the Fashion Industry </w:t>
      </w:r>
    </w:p>
    <w:p w14:paraId="15CD2BA8" w14:textId="4D4FABAF" w:rsidR="00FD6EAB" w:rsidRPr="0056135B" w:rsidRDefault="00FD6EAB" w:rsidP="00FD6EAB">
      <w:pPr>
        <w:rPr>
          <w:rFonts w:cstheme="minorHAnsi"/>
          <w:sz w:val="24"/>
          <w:szCs w:val="24"/>
          <w:lang w:val="en-US"/>
        </w:rPr>
      </w:pPr>
      <w:r w:rsidRPr="0056135B">
        <w:rPr>
          <w:rFonts w:cstheme="minorHAnsi"/>
          <w:sz w:val="24"/>
          <w:szCs w:val="24"/>
          <w:lang w:val="en-US"/>
        </w:rPr>
        <w:t xml:space="preserve">The </w:t>
      </w:r>
      <w:r w:rsidR="00694FF8">
        <w:rPr>
          <w:rFonts w:cstheme="minorHAnsi"/>
          <w:sz w:val="24"/>
          <w:szCs w:val="24"/>
          <w:lang w:val="en-US"/>
        </w:rPr>
        <w:t>D</w:t>
      </w:r>
      <w:r w:rsidR="00694FF8" w:rsidRPr="0056135B">
        <w:rPr>
          <w:rFonts w:cstheme="minorHAnsi"/>
          <w:sz w:val="24"/>
          <w:szCs w:val="24"/>
          <w:lang w:val="en-US"/>
        </w:rPr>
        <w:t xml:space="preserve">esign </w:t>
      </w:r>
      <w:r w:rsidR="00694FF8">
        <w:rPr>
          <w:rFonts w:cstheme="minorHAnsi"/>
          <w:sz w:val="24"/>
          <w:szCs w:val="24"/>
          <w:lang w:val="en-US"/>
        </w:rPr>
        <w:t>D</w:t>
      </w:r>
      <w:r w:rsidRPr="0056135B">
        <w:rPr>
          <w:rFonts w:cstheme="minorHAnsi"/>
          <w:sz w:val="24"/>
          <w:szCs w:val="24"/>
          <w:lang w:val="en-US"/>
        </w:rPr>
        <w:t xml:space="preserve">irective contains no provisions on who is entitled to a registered design or ownership. This is left to the member states national laws. However, the Regulation states design vests in the designer or his or her successor in title, article 14.1 RCD. In the </w:t>
      </w:r>
      <w:bookmarkStart w:id="7" w:name="_Hlk152704887"/>
      <w:r w:rsidRPr="0056135B">
        <w:rPr>
          <w:rFonts w:cstheme="minorHAnsi"/>
          <w:sz w:val="24"/>
          <w:szCs w:val="24"/>
          <w:lang w:val="en-US"/>
        </w:rPr>
        <w:t xml:space="preserve">case </w:t>
      </w:r>
      <w:bookmarkStart w:id="8" w:name="_Hlk152704632"/>
      <w:r w:rsidRPr="0056135B">
        <w:rPr>
          <w:rFonts w:cstheme="minorHAnsi"/>
          <w:sz w:val="24"/>
          <w:szCs w:val="24"/>
          <w:lang w:val="en-US"/>
        </w:rPr>
        <w:t>C</w:t>
      </w:r>
      <w:r w:rsidRPr="0056135B">
        <w:rPr>
          <w:rFonts w:ascii="Cambria Math" w:hAnsi="Cambria Math" w:cs="Cambria Math"/>
          <w:sz w:val="24"/>
          <w:szCs w:val="24"/>
          <w:lang w:val="en-US"/>
        </w:rPr>
        <w:t>‑</w:t>
      </w:r>
      <w:r w:rsidRPr="0056135B">
        <w:rPr>
          <w:rFonts w:cstheme="minorHAnsi"/>
          <w:sz w:val="24"/>
          <w:szCs w:val="24"/>
          <w:lang w:val="en-US"/>
        </w:rPr>
        <w:t>32/08, EU:C:2009:418, FEIA</w:t>
      </w:r>
      <w:bookmarkEnd w:id="7"/>
      <w:r w:rsidRPr="0056135B">
        <w:rPr>
          <w:rFonts w:cstheme="minorHAnsi"/>
          <w:sz w:val="24"/>
          <w:szCs w:val="24"/>
          <w:lang w:val="en-US"/>
        </w:rPr>
        <w:t xml:space="preserve">, </w:t>
      </w:r>
      <w:bookmarkEnd w:id="8"/>
      <w:r w:rsidRPr="0056135B">
        <w:rPr>
          <w:rFonts w:cstheme="minorHAnsi"/>
          <w:sz w:val="24"/>
          <w:szCs w:val="24"/>
          <w:lang w:val="en-US"/>
        </w:rPr>
        <w:t>the CJEU stated that the terms ‘designer’ and ‘successor in title’ should be given a uniform interpretation within the Community legal order (para 66 and 68), but the court did not define the terms. According to Stone a designer is likely the person who designs the design.</w:t>
      </w:r>
      <w:r w:rsidRPr="0056135B">
        <w:rPr>
          <w:rStyle w:val="FootnoteReference"/>
          <w:rFonts w:cstheme="minorHAnsi"/>
          <w:sz w:val="24"/>
          <w:szCs w:val="24"/>
          <w:lang w:val="en-US"/>
        </w:rPr>
        <w:footnoteReference w:id="83"/>
      </w:r>
      <w:r w:rsidRPr="0056135B">
        <w:rPr>
          <w:rFonts w:cstheme="minorHAnsi"/>
          <w:sz w:val="24"/>
          <w:szCs w:val="24"/>
          <w:lang w:val="en-US"/>
        </w:rPr>
        <w:t xml:space="preserve"> Hence, the starting point is that the fashion designer, the creator, is the initial owner of the RCD. However, if two or more designers have cooperated to jointly develop the design, the right to the Community design shall vest in them jointly, 14.2 RCD. </w:t>
      </w:r>
    </w:p>
    <w:p w14:paraId="7B109023" w14:textId="6429D596" w:rsidR="00FD6EAB" w:rsidRPr="0056135B" w:rsidRDefault="00FD6EAB" w:rsidP="00FD6EAB">
      <w:pPr>
        <w:rPr>
          <w:rFonts w:cstheme="minorHAnsi"/>
          <w:sz w:val="24"/>
          <w:szCs w:val="24"/>
          <w:lang w:val="en-US"/>
        </w:rPr>
      </w:pPr>
      <w:r w:rsidRPr="0056135B">
        <w:rPr>
          <w:rFonts w:cstheme="minorHAnsi"/>
          <w:sz w:val="24"/>
          <w:szCs w:val="24"/>
          <w:lang w:val="en-US"/>
        </w:rPr>
        <w:t>In many cases, a fashion design is developed by employee</w:t>
      </w:r>
      <w:r w:rsidR="00694FF8">
        <w:rPr>
          <w:rFonts w:cstheme="minorHAnsi"/>
          <w:sz w:val="24"/>
          <w:szCs w:val="24"/>
          <w:lang w:val="en-US"/>
        </w:rPr>
        <w:t>s</w:t>
      </w:r>
      <w:r w:rsidRPr="0056135B">
        <w:rPr>
          <w:rFonts w:cstheme="minorHAnsi"/>
          <w:sz w:val="24"/>
          <w:szCs w:val="24"/>
          <w:lang w:val="en-US"/>
        </w:rPr>
        <w:t xml:space="preserve"> in executing </w:t>
      </w:r>
      <w:r w:rsidR="00694FF8">
        <w:rPr>
          <w:rFonts w:cstheme="minorHAnsi"/>
          <w:sz w:val="24"/>
          <w:szCs w:val="24"/>
          <w:lang w:val="en-US"/>
        </w:rPr>
        <w:t>their</w:t>
      </w:r>
      <w:r w:rsidRPr="0056135B">
        <w:rPr>
          <w:rFonts w:cstheme="minorHAnsi"/>
          <w:sz w:val="24"/>
          <w:szCs w:val="24"/>
          <w:lang w:val="en-US"/>
        </w:rPr>
        <w:t xml:space="preserve"> duties or following the instructions given by </w:t>
      </w:r>
      <w:r w:rsidR="00694FF8">
        <w:rPr>
          <w:rFonts w:cstheme="minorHAnsi"/>
          <w:sz w:val="24"/>
          <w:szCs w:val="24"/>
          <w:lang w:val="en-US"/>
        </w:rPr>
        <w:t>their</w:t>
      </w:r>
      <w:r w:rsidR="00694FF8" w:rsidRPr="0056135B">
        <w:rPr>
          <w:rFonts w:cstheme="minorHAnsi"/>
          <w:sz w:val="24"/>
          <w:szCs w:val="24"/>
          <w:lang w:val="en-US"/>
        </w:rPr>
        <w:t xml:space="preserve"> </w:t>
      </w:r>
      <w:r w:rsidRPr="0056135B">
        <w:rPr>
          <w:rFonts w:cstheme="minorHAnsi"/>
          <w:sz w:val="24"/>
          <w:szCs w:val="24"/>
          <w:lang w:val="en-US"/>
        </w:rPr>
        <w:t xml:space="preserve">employer. In those cases, the right to the Community design vests in the employer, unless otherwise agreed or specified under national law, article 14.3 RCD. The term employee refers, according to CJEU, to the person who works under the instructions of </w:t>
      </w:r>
      <w:r w:rsidR="00694FF8">
        <w:rPr>
          <w:rFonts w:cstheme="minorHAnsi"/>
          <w:sz w:val="24"/>
          <w:szCs w:val="24"/>
          <w:lang w:val="en-US"/>
        </w:rPr>
        <w:t>an</w:t>
      </w:r>
      <w:r w:rsidR="00694FF8" w:rsidRPr="0056135B">
        <w:rPr>
          <w:rFonts w:cstheme="minorHAnsi"/>
          <w:sz w:val="24"/>
          <w:szCs w:val="24"/>
          <w:lang w:val="en-US"/>
        </w:rPr>
        <w:t xml:space="preserve"> </w:t>
      </w:r>
      <w:r w:rsidRPr="0056135B">
        <w:rPr>
          <w:rFonts w:cstheme="minorHAnsi"/>
          <w:sz w:val="24"/>
          <w:szCs w:val="24"/>
          <w:lang w:val="en-US"/>
        </w:rPr>
        <w:t xml:space="preserve">‘employer’ when developing a </w:t>
      </w:r>
      <w:proofErr w:type="gramStart"/>
      <w:r w:rsidRPr="0056135B">
        <w:rPr>
          <w:rFonts w:cstheme="minorHAnsi"/>
          <w:sz w:val="24"/>
          <w:szCs w:val="24"/>
          <w:lang w:val="en-US"/>
        </w:rPr>
        <w:t>Community</w:t>
      </w:r>
      <w:proofErr w:type="gramEnd"/>
      <w:r w:rsidRPr="0056135B">
        <w:rPr>
          <w:rFonts w:cstheme="minorHAnsi"/>
          <w:sz w:val="24"/>
          <w:szCs w:val="24"/>
          <w:lang w:val="en-US"/>
        </w:rPr>
        <w:t xml:space="preserve"> design in the context of an employment relationship” </w:t>
      </w:r>
      <w:r w:rsidRPr="0056135B">
        <w:rPr>
          <w:rStyle w:val="FootnoteReference"/>
          <w:rFonts w:cstheme="minorHAnsi"/>
          <w:sz w:val="24"/>
          <w:szCs w:val="24"/>
          <w:lang w:val="en-US"/>
        </w:rPr>
        <w:footnoteReference w:id="84"/>
      </w:r>
    </w:p>
    <w:p w14:paraId="45769330" w14:textId="77777777" w:rsidR="00FD6EAB" w:rsidRPr="0056135B" w:rsidRDefault="00FD6EAB" w:rsidP="00FD6EAB">
      <w:pPr>
        <w:rPr>
          <w:rFonts w:cstheme="minorHAnsi"/>
          <w:sz w:val="24"/>
          <w:szCs w:val="24"/>
          <w:lang w:val="en-US"/>
        </w:rPr>
      </w:pPr>
      <w:r w:rsidRPr="0056135B">
        <w:rPr>
          <w:rFonts w:cstheme="minorHAnsi"/>
          <w:sz w:val="24"/>
          <w:szCs w:val="24"/>
          <w:lang w:val="en-US"/>
        </w:rPr>
        <w:t>In the case of a company commissioning a fashion design, the CJEU has stated in  case C</w:t>
      </w:r>
      <w:r w:rsidRPr="0056135B">
        <w:rPr>
          <w:rFonts w:ascii="Cambria Math" w:hAnsi="Cambria Math" w:cs="Cambria Math"/>
          <w:sz w:val="24"/>
          <w:szCs w:val="24"/>
          <w:lang w:val="en-US"/>
        </w:rPr>
        <w:t>‑</w:t>
      </w:r>
      <w:r w:rsidRPr="0056135B">
        <w:rPr>
          <w:rFonts w:cstheme="minorHAnsi"/>
          <w:sz w:val="24"/>
          <w:szCs w:val="24"/>
          <w:lang w:val="en-US"/>
        </w:rPr>
        <w:t xml:space="preserve">32/08, EU:C:2009:418, FEIA, that article 14.3 RCD only applies to employees and that </w:t>
      </w:r>
      <w:r w:rsidRPr="0056135B">
        <w:rPr>
          <w:rFonts w:cstheme="minorHAnsi"/>
          <w:sz w:val="24"/>
          <w:szCs w:val="24"/>
          <w:lang w:val="en-US"/>
        </w:rPr>
        <w:lastRenderedPageBreak/>
        <w:t>commissioned design falls under article 14.1 RCD, with the result that the ownership vests in the designer.</w:t>
      </w:r>
      <w:r w:rsidRPr="0056135B">
        <w:rPr>
          <w:rStyle w:val="FootnoteReference"/>
          <w:rFonts w:cstheme="minorHAnsi"/>
          <w:sz w:val="24"/>
          <w:szCs w:val="24"/>
          <w:lang w:val="en-US"/>
        </w:rPr>
        <w:footnoteReference w:id="85"/>
      </w:r>
      <w:r w:rsidRPr="0056135B">
        <w:rPr>
          <w:rFonts w:cstheme="minorHAnsi"/>
          <w:sz w:val="24"/>
          <w:szCs w:val="24"/>
          <w:lang w:val="en-US"/>
        </w:rPr>
        <w:t xml:space="preserve"> If the Commissioner wishes to obtain ownership of the fashion design, he or she is advised to agree with the designer in a written contract on the right to the design.</w:t>
      </w:r>
    </w:p>
    <w:p w14:paraId="2EDB09AE" w14:textId="77777777" w:rsidR="004B1DBA" w:rsidRDefault="004B1DBA" w:rsidP="004B1DBA">
      <w:pPr>
        <w:pStyle w:val="ListParagraph"/>
        <w:ind w:left="1080"/>
        <w:jc w:val="both"/>
        <w:rPr>
          <w:rFonts w:cstheme="minorHAnsi"/>
          <w:sz w:val="24"/>
          <w:szCs w:val="24"/>
          <w:lang w:val="en-US"/>
        </w:rPr>
      </w:pPr>
    </w:p>
    <w:p w14:paraId="181CA920" w14:textId="77777777" w:rsidR="00FD6EAB" w:rsidRPr="00474FAB" w:rsidRDefault="00FD6EAB" w:rsidP="004B1DBA">
      <w:pPr>
        <w:pStyle w:val="ListParagraph"/>
        <w:ind w:left="1080"/>
        <w:jc w:val="both"/>
        <w:rPr>
          <w:rFonts w:cstheme="minorHAnsi"/>
          <w:sz w:val="24"/>
          <w:szCs w:val="24"/>
          <w:lang w:val="en-US"/>
        </w:rPr>
      </w:pPr>
    </w:p>
    <w:p w14:paraId="61FC69AC" w14:textId="5D4A6F7A" w:rsidR="001703F7" w:rsidRPr="00474FAB" w:rsidRDefault="001703F7" w:rsidP="001627EE">
      <w:pPr>
        <w:pStyle w:val="ListParagraph"/>
        <w:numPr>
          <w:ilvl w:val="0"/>
          <w:numId w:val="4"/>
        </w:numPr>
        <w:jc w:val="both"/>
        <w:rPr>
          <w:rFonts w:cstheme="minorHAnsi"/>
          <w:sz w:val="24"/>
          <w:szCs w:val="24"/>
          <w:lang w:val="en-US"/>
        </w:rPr>
      </w:pPr>
      <w:r w:rsidRPr="00474FAB">
        <w:rPr>
          <w:rFonts w:cstheme="minorHAnsi"/>
          <w:sz w:val="24"/>
          <w:szCs w:val="24"/>
          <w:lang w:val="en-US"/>
        </w:rPr>
        <w:t xml:space="preserve">Infringement in the Fashion Industry </w:t>
      </w:r>
    </w:p>
    <w:p w14:paraId="2B6EC5A0" w14:textId="77777777" w:rsidR="001703F7" w:rsidRDefault="001703F7" w:rsidP="001627EE">
      <w:pPr>
        <w:pStyle w:val="ListParagraph"/>
        <w:ind w:left="1080"/>
        <w:jc w:val="both"/>
        <w:rPr>
          <w:rFonts w:cstheme="minorHAnsi"/>
          <w:sz w:val="24"/>
          <w:szCs w:val="24"/>
          <w:lang w:val="en-US"/>
        </w:rPr>
      </w:pPr>
    </w:p>
    <w:p w14:paraId="7DBF6AAD" w14:textId="023C9B4A" w:rsidR="00C205D6" w:rsidRPr="00B30FC1" w:rsidRDefault="00C205D6" w:rsidP="00C205D6">
      <w:pPr>
        <w:rPr>
          <w:rStyle w:val="eop"/>
          <w:rFonts w:cstheme="minorHAnsi"/>
          <w:color w:val="000000"/>
          <w:sz w:val="24"/>
          <w:szCs w:val="24"/>
          <w:shd w:val="clear" w:color="auto" w:fill="FFFFFF"/>
          <w:lang w:val="en-US"/>
        </w:rPr>
      </w:pPr>
      <w:r w:rsidRPr="00B30FC1">
        <w:rPr>
          <w:rStyle w:val="eop"/>
          <w:rFonts w:cstheme="minorHAnsi"/>
          <w:color w:val="000000"/>
          <w:sz w:val="24"/>
          <w:szCs w:val="24"/>
          <w:shd w:val="clear" w:color="auto" w:fill="FFFFFF"/>
          <w:lang w:val="en-US"/>
        </w:rPr>
        <w:t xml:space="preserve">A </w:t>
      </w:r>
      <w:r w:rsidRPr="00B30FC1">
        <w:rPr>
          <w:rStyle w:val="eop"/>
          <w:rFonts w:cstheme="minorHAnsi"/>
          <w:i/>
          <w:iCs/>
          <w:color w:val="000000"/>
          <w:sz w:val="24"/>
          <w:szCs w:val="24"/>
          <w:shd w:val="clear" w:color="auto" w:fill="FFFFFF"/>
          <w:lang w:val="en-US"/>
        </w:rPr>
        <w:t>registered design</w:t>
      </w:r>
      <w:r w:rsidRPr="00B30FC1">
        <w:rPr>
          <w:rStyle w:val="eop"/>
          <w:rFonts w:cstheme="minorHAnsi"/>
          <w:color w:val="000000"/>
          <w:sz w:val="24"/>
          <w:szCs w:val="24"/>
          <w:shd w:val="clear" w:color="auto" w:fill="FFFFFF"/>
          <w:lang w:val="en-US"/>
        </w:rPr>
        <w:t xml:space="preserve"> gives its holder the exclusive right to use it and to prevent any third party not having his consent from using it.</w:t>
      </w:r>
      <w:r w:rsidR="00581E00">
        <w:rPr>
          <w:rStyle w:val="FootnoteReference"/>
          <w:rFonts w:cstheme="minorHAnsi"/>
          <w:color w:val="000000"/>
          <w:sz w:val="24"/>
          <w:szCs w:val="24"/>
          <w:shd w:val="clear" w:color="auto" w:fill="FFFFFF"/>
          <w:lang w:val="en-US"/>
        </w:rPr>
        <w:footnoteReference w:id="86"/>
      </w:r>
      <w:r w:rsidRPr="00B30FC1">
        <w:rPr>
          <w:rStyle w:val="eop"/>
          <w:rFonts w:cstheme="minorHAnsi"/>
          <w:color w:val="000000"/>
          <w:sz w:val="24"/>
          <w:szCs w:val="24"/>
          <w:shd w:val="clear" w:color="auto" w:fill="FFFFFF"/>
          <w:lang w:val="en-US"/>
        </w:rPr>
        <w:t xml:space="preserve"> The right holder can hinder any use of a fashion design </w:t>
      </w:r>
      <w:r w:rsidRPr="00532E3E">
        <w:rPr>
          <w:rStyle w:val="eop"/>
          <w:rFonts w:cstheme="minorHAnsi"/>
          <w:color w:val="000000"/>
          <w:shd w:val="clear" w:color="auto" w:fill="FFFFFF"/>
          <w:lang w:val="en-US"/>
        </w:rPr>
        <w:t>that does not</w:t>
      </w:r>
      <w:r>
        <w:rPr>
          <w:rStyle w:val="eop"/>
          <w:rFonts w:cstheme="minorHAnsi"/>
          <w:color w:val="000000"/>
          <w:shd w:val="clear" w:color="auto" w:fill="FFFFFF"/>
          <w:lang w:val="en-US"/>
        </w:rPr>
        <w:t xml:space="preserve"> </w:t>
      </w:r>
      <w:r w:rsidRPr="00B30FC1">
        <w:rPr>
          <w:rStyle w:val="eop"/>
          <w:rFonts w:cstheme="minorHAnsi"/>
          <w:color w:val="000000"/>
          <w:sz w:val="24"/>
          <w:szCs w:val="24"/>
          <w:shd w:val="clear" w:color="auto" w:fill="FFFFFF"/>
          <w:lang w:val="en-US"/>
        </w:rPr>
        <w:t>produce on the informed user a different overall impression, article 10.1 CRD and article 9.1 DD. When assessing this</w:t>
      </w:r>
      <w:r>
        <w:rPr>
          <w:rStyle w:val="eop"/>
          <w:rFonts w:cstheme="minorHAnsi"/>
          <w:color w:val="000000"/>
          <w:shd w:val="clear" w:color="auto" w:fill="FFFFFF"/>
          <w:lang w:val="en-US"/>
        </w:rPr>
        <w:t>,</w:t>
      </w:r>
      <w:r w:rsidRPr="00B30FC1">
        <w:rPr>
          <w:rStyle w:val="eop"/>
          <w:rFonts w:cstheme="minorHAnsi"/>
          <w:color w:val="000000"/>
          <w:sz w:val="24"/>
          <w:szCs w:val="24"/>
          <w:shd w:val="clear" w:color="auto" w:fill="FFFFFF"/>
          <w:lang w:val="en-US"/>
        </w:rPr>
        <w:t xml:space="preserve"> “the degree of freedom of the designer in developing his design shall be taken into consideration”, article 10.2 CRD and article 9.2 DD. </w:t>
      </w:r>
    </w:p>
    <w:p w14:paraId="5FC81018" w14:textId="40EFEA8D" w:rsidR="00C205D6" w:rsidRPr="00C205D6" w:rsidRDefault="00C205D6" w:rsidP="00C205D6">
      <w:pPr>
        <w:rPr>
          <w:rFonts w:cstheme="minorHAnsi"/>
          <w:color w:val="000000"/>
          <w:sz w:val="24"/>
          <w:szCs w:val="24"/>
          <w:shd w:val="clear" w:color="auto" w:fill="FFFFFF"/>
          <w:lang w:val="en-US"/>
        </w:rPr>
      </w:pPr>
      <w:r w:rsidRPr="00B30FC1">
        <w:rPr>
          <w:rStyle w:val="eop"/>
          <w:rFonts w:cstheme="minorHAnsi"/>
          <w:color w:val="000000"/>
          <w:sz w:val="24"/>
          <w:szCs w:val="24"/>
          <w:shd w:val="clear" w:color="auto" w:fill="FFFFFF"/>
          <w:lang w:val="en-US"/>
        </w:rPr>
        <w:t xml:space="preserve">Design law protects the visual appearance of any product or part of a product. This means that in an infringement action, a company cannot argue that they have used another technique to achieve the same result, because it is the end result, </w:t>
      </w:r>
      <w:proofErr w:type="gramStart"/>
      <w:r w:rsidRPr="00B30FC1">
        <w:rPr>
          <w:rStyle w:val="eop"/>
          <w:rFonts w:cstheme="minorHAnsi"/>
          <w:color w:val="000000"/>
          <w:sz w:val="24"/>
          <w:szCs w:val="24"/>
          <w:shd w:val="clear" w:color="auto" w:fill="FFFFFF"/>
          <w:lang w:val="en-US"/>
        </w:rPr>
        <w:t>i.e.</w:t>
      </w:r>
      <w:proofErr w:type="gramEnd"/>
      <w:r w:rsidRPr="00B30FC1">
        <w:rPr>
          <w:rStyle w:val="eop"/>
          <w:rFonts w:cstheme="minorHAnsi"/>
          <w:color w:val="000000"/>
          <w:sz w:val="24"/>
          <w:szCs w:val="24"/>
          <w:shd w:val="clear" w:color="auto" w:fill="FFFFFF"/>
          <w:lang w:val="en-US"/>
        </w:rPr>
        <w:t xml:space="preserve"> the visual appearance of the product, that is protected. </w:t>
      </w:r>
    </w:p>
    <w:p w14:paraId="3BD4B820" w14:textId="4309A7FE" w:rsidR="00C205D6" w:rsidRPr="00B30FC1" w:rsidRDefault="00C205D6" w:rsidP="00C205D6">
      <w:pPr>
        <w:rPr>
          <w:rStyle w:val="eop"/>
          <w:rFonts w:cstheme="minorHAnsi"/>
          <w:color w:val="000000"/>
          <w:sz w:val="24"/>
          <w:szCs w:val="24"/>
          <w:shd w:val="clear" w:color="auto" w:fill="FFFFFF"/>
          <w:lang w:val="en-US"/>
        </w:rPr>
      </w:pPr>
      <w:r w:rsidRPr="00B30FC1">
        <w:rPr>
          <w:rStyle w:val="eop"/>
          <w:rFonts w:cstheme="minorHAnsi"/>
          <w:color w:val="000000"/>
          <w:sz w:val="24"/>
          <w:szCs w:val="24"/>
          <w:shd w:val="clear" w:color="auto" w:fill="FFFFFF"/>
          <w:lang w:val="en-US"/>
        </w:rPr>
        <w:t xml:space="preserve">An unregistered Community design gives its holder the right to prevent the same acts as a registered design but only if the contested use results from copying the protected design, and the article states that “the contested use shall not be deemed to result from copying the protected design if it results from an independent work of creation by a designer who may be reasonably thought not to be familiar with the design made available to the public”, article 19.2 CRD. </w:t>
      </w:r>
      <w:r w:rsidR="00694FF8" w:rsidRPr="00532E3E">
        <w:rPr>
          <w:rStyle w:val="eop"/>
          <w:rFonts w:cstheme="minorHAnsi"/>
          <w:color w:val="000000"/>
          <w:shd w:val="clear" w:color="auto" w:fill="FFFFFF"/>
          <w:lang w:val="en-US"/>
        </w:rPr>
        <w:t>Regist</w:t>
      </w:r>
      <w:r w:rsidR="00694FF8">
        <w:rPr>
          <w:rStyle w:val="eop"/>
          <w:rFonts w:cstheme="minorHAnsi"/>
          <w:color w:val="000000"/>
          <w:shd w:val="clear" w:color="auto" w:fill="FFFFFF"/>
          <w:lang w:val="en-US"/>
        </w:rPr>
        <w:t>ration</w:t>
      </w:r>
      <w:r w:rsidR="00694FF8" w:rsidRPr="00532E3E">
        <w:rPr>
          <w:rStyle w:val="eop"/>
          <w:rFonts w:cstheme="minorHAnsi"/>
          <w:color w:val="000000"/>
          <w:shd w:val="clear" w:color="auto" w:fill="FFFFFF"/>
          <w:lang w:val="en-US"/>
        </w:rPr>
        <w:t xml:space="preserve"> </w:t>
      </w:r>
      <w:r w:rsidRPr="00532E3E">
        <w:rPr>
          <w:rStyle w:val="eop"/>
          <w:rFonts w:cstheme="minorHAnsi"/>
          <w:color w:val="000000"/>
          <w:shd w:val="clear" w:color="auto" w:fill="FFFFFF"/>
          <w:lang w:val="en-US"/>
        </w:rPr>
        <w:t>is needed if the designer or his successor wants a more prolonged and broader protection</w:t>
      </w:r>
      <w:r w:rsidR="00694FF8">
        <w:rPr>
          <w:rStyle w:val="eop"/>
          <w:rFonts w:cstheme="minorHAnsi"/>
          <w:color w:val="000000"/>
          <w:shd w:val="clear" w:color="auto" w:fill="FFFFFF"/>
          <w:lang w:val="en-US"/>
        </w:rPr>
        <w:t>.</w:t>
      </w:r>
      <w:r w:rsidRPr="00386EDF">
        <w:rPr>
          <w:lang w:val="en-US"/>
        </w:rPr>
        <w:t xml:space="preserve"> </w:t>
      </w:r>
      <w:r w:rsidRPr="00386EDF">
        <w:rPr>
          <w:rStyle w:val="eop"/>
          <w:rFonts w:cstheme="minorHAnsi"/>
          <w:color w:val="000000"/>
          <w:shd w:val="clear" w:color="auto" w:fill="FFFFFF"/>
          <w:lang w:val="en-US"/>
        </w:rPr>
        <w:t>Even if novelty is required to register, it is</w:t>
      </w:r>
      <w:r>
        <w:rPr>
          <w:rStyle w:val="eop"/>
          <w:rFonts w:cstheme="minorHAnsi"/>
          <w:color w:val="000000"/>
          <w:shd w:val="clear" w:color="auto" w:fill="FFFFFF"/>
          <w:lang w:val="en-US"/>
        </w:rPr>
        <w:t xml:space="preserve"> still</w:t>
      </w:r>
      <w:r w:rsidRPr="00386EDF">
        <w:rPr>
          <w:rStyle w:val="eop"/>
          <w:rFonts w:cstheme="minorHAnsi"/>
          <w:color w:val="000000"/>
          <w:shd w:val="clear" w:color="auto" w:fill="FFFFFF"/>
          <w:lang w:val="en-US"/>
        </w:rPr>
        <w:t xml:space="preserve"> possible </w:t>
      </w:r>
      <w:r>
        <w:rPr>
          <w:rStyle w:val="eop"/>
          <w:rFonts w:cstheme="minorHAnsi"/>
          <w:color w:val="000000"/>
          <w:shd w:val="clear" w:color="auto" w:fill="FFFFFF"/>
          <w:lang w:val="en-US"/>
        </w:rPr>
        <w:t xml:space="preserve">to register the design </w:t>
      </w:r>
      <w:r w:rsidRPr="00386EDF">
        <w:rPr>
          <w:rStyle w:val="eop"/>
          <w:rFonts w:cstheme="minorHAnsi"/>
          <w:color w:val="000000"/>
          <w:shd w:val="clear" w:color="auto" w:fill="FFFFFF"/>
          <w:lang w:val="en-US"/>
        </w:rPr>
        <w:t xml:space="preserve">due to the 12-month grace period provided for in article 7.2 </w:t>
      </w:r>
      <w:r w:rsidR="00322AB7">
        <w:rPr>
          <w:rStyle w:val="eop"/>
          <w:rFonts w:cstheme="minorHAnsi"/>
          <w:color w:val="000000"/>
          <w:shd w:val="clear" w:color="auto" w:fill="FFFFFF"/>
          <w:lang w:val="en-US"/>
        </w:rPr>
        <w:t>RCD</w:t>
      </w:r>
      <w:r w:rsidRPr="00386EDF">
        <w:rPr>
          <w:rStyle w:val="eop"/>
          <w:rFonts w:cstheme="minorHAnsi"/>
          <w:color w:val="000000"/>
          <w:shd w:val="clear" w:color="auto" w:fill="FFFFFF"/>
          <w:lang w:val="en-US"/>
        </w:rPr>
        <w:t>.</w:t>
      </w:r>
      <w:r w:rsidRPr="00B30FC1">
        <w:rPr>
          <w:rStyle w:val="eop"/>
          <w:rFonts w:cstheme="minorHAnsi"/>
          <w:color w:val="000000"/>
          <w:sz w:val="24"/>
          <w:szCs w:val="24"/>
          <w:shd w:val="clear" w:color="auto" w:fill="FFFFFF"/>
          <w:lang w:val="en-US"/>
        </w:rPr>
        <w:t xml:space="preserve"> The purpose of the grace period is to allow the designer or his successor in title to test the products in which the design is embodied in the marketplace before deciding if registration is desirable, recital 20 </w:t>
      </w:r>
      <w:r w:rsidR="00322AB7">
        <w:rPr>
          <w:rStyle w:val="eop"/>
          <w:rFonts w:cstheme="minorHAnsi"/>
          <w:color w:val="000000"/>
          <w:sz w:val="24"/>
          <w:szCs w:val="24"/>
          <w:shd w:val="clear" w:color="auto" w:fill="FFFFFF"/>
          <w:lang w:val="en-US"/>
        </w:rPr>
        <w:t>RCD</w:t>
      </w:r>
      <w:r w:rsidRPr="00B30FC1">
        <w:rPr>
          <w:rStyle w:val="eop"/>
          <w:rFonts w:cstheme="minorHAnsi"/>
          <w:color w:val="000000"/>
          <w:sz w:val="24"/>
          <w:szCs w:val="24"/>
          <w:shd w:val="clear" w:color="auto" w:fill="FFFFFF"/>
          <w:lang w:val="en-US"/>
        </w:rPr>
        <w:t>. The grace period means that disclosures of the design by the designer or his successor in title, during a period of 12 months prior to the date of the filing of the application for a registered Community design should not be prejudicial in assessing the novelty or the individual character of the design in question.</w:t>
      </w:r>
    </w:p>
    <w:p w14:paraId="5DD664E8" w14:textId="18203F96" w:rsidR="00C205D6" w:rsidRPr="00B30FC1" w:rsidRDefault="00C205D6" w:rsidP="00C205D6">
      <w:pPr>
        <w:rPr>
          <w:rFonts w:cstheme="minorHAnsi"/>
          <w:color w:val="000000"/>
          <w:sz w:val="24"/>
          <w:szCs w:val="24"/>
          <w:shd w:val="clear" w:color="auto" w:fill="FFFFFF"/>
          <w:lang w:val="en-US"/>
        </w:rPr>
      </w:pPr>
      <w:r w:rsidRPr="00B30FC1">
        <w:rPr>
          <w:rStyle w:val="eop"/>
          <w:rFonts w:cstheme="minorHAnsi"/>
          <w:color w:val="000000"/>
          <w:sz w:val="24"/>
          <w:szCs w:val="24"/>
          <w:shd w:val="clear" w:color="auto" w:fill="FFFFFF"/>
          <w:lang w:val="en-US"/>
        </w:rPr>
        <w:t>In the case C-479/12,</w:t>
      </w:r>
      <w:r w:rsidRPr="00B30FC1">
        <w:rPr>
          <w:rFonts w:cstheme="minorHAnsi"/>
          <w:sz w:val="24"/>
          <w:szCs w:val="24"/>
          <w:lang w:val="en-US"/>
        </w:rPr>
        <w:t xml:space="preserve"> </w:t>
      </w:r>
      <w:r w:rsidRPr="00B30FC1">
        <w:rPr>
          <w:rStyle w:val="eop"/>
          <w:rFonts w:cstheme="minorHAnsi"/>
          <w:color w:val="000000"/>
          <w:sz w:val="24"/>
          <w:szCs w:val="24"/>
          <w:shd w:val="clear" w:color="auto" w:fill="FFFFFF"/>
          <w:lang w:val="en-US"/>
        </w:rPr>
        <w:t xml:space="preserve">EU:C:2014:75, </w:t>
      </w:r>
      <w:proofErr w:type="spellStart"/>
      <w:r w:rsidRPr="00B30FC1">
        <w:rPr>
          <w:rStyle w:val="eop"/>
          <w:rFonts w:cstheme="minorHAnsi"/>
          <w:color w:val="000000"/>
          <w:sz w:val="24"/>
          <w:szCs w:val="24"/>
          <w:shd w:val="clear" w:color="auto" w:fill="FFFFFF"/>
          <w:lang w:val="en-US"/>
        </w:rPr>
        <w:t>Gautzsch</w:t>
      </w:r>
      <w:proofErr w:type="spellEnd"/>
      <w:r w:rsidRPr="00B30FC1">
        <w:rPr>
          <w:rStyle w:val="eop"/>
          <w:rFonts w:cstheme="minorHAnsi"/>
          <w:color w:val="000000"/>
          <w:sz w:val="24"/>
          <w:szCs w:val="24"/>
          <w:shd w:val="clear" w:color="auto" w:fill="FFFFFF"/>
          <w:lang w:val="en-US"/>
        </w:rPr>
        <w:t xml:space="preserve"> </w:t>
      </w:r>
      <w:proofErr w:type="spellStart"/>
      <w:r w:rsidRPr="00B30FC1">
        <w:rPr>
          <w:rStyle w:val="eop"/>
          <w:rFonts w:cstheme="minorHAnsi"/>
          <w:color w:val="000000"/>
          <w:sz w:val="24"/>
          <w:szCs w:val="24"/>
          <w:shd w:val="clear" w:color="auto" w:fill="FFFFFF"/>
          <w:lang w:val="en-US"/>
        </w:rPr>
        <w:t>Großhandel</w:t>
      </w:r>
      <w:proofErr w:type="spellEnd"/>
      <w:r w:rsidRPr="00B30FC1">
        <w:rPr>
          <w:rStyle w:val="eop"/>
          <w:rFonts w:cstheme="minorHAnsi"/>
          <w:color w:val="000000"/>
          <w:sz w:val="24"/>
          <w:szCs w:val="24"/>
          <w:shd w:val="clear" w:color="auto" w:fill="FFFFFF"/>
          <w:lang w:val="en-US"/>
        </w:rPr>
        <w:t xml:space="preserve"> GmbH, which dealt with an unregistered design of a gazebo</w:t>
      </w:r>
      <w:r>
        <w:rPr>
          <w:rStyle w:val="eop"/>
          <w:rFonts w:cstheme="minorHAnsi"/>
          <w:color w:val="000000"/>
          <w:shd w:val="clear" w:color="auto" w:fill="FFFFFF"/>
          <w:lang w:val="en-US"/>
        </w:rPr>
        <w:t>,</w:t>
      </w:r>
      <w:r w:rsidRPr="00B30FC1">
        <w:rPr>
          <w:rStyle w:val="eop"/>
          <w:rFonts w:cstheme="minorHAnsi"/>
          <w:color w:val="000000"/>
          <w:sz w:val="24"/>
          <w:szCs w:val="24"/>
          <w:shd w:val="clear" w:color="auto" w:fill="FFFFFF"/>
          <w:lang w:val="en-US"/>
        </w:rPr>
        <w:t xml:space="preserve"> the CJEU stated that it is the holder of the unregistered design that </w:t>
      </w:r>
      <w:r w:rsidRPr="00B30FC1">
        <w:rPr>
          <w:rFonts w:cstheme="minorHAnsi"/>
          <w:color w:val="000000"/>
          <w:sz w:val="24"/>
          <w:szCs w:val="24"/>
          <w:shd w:val="clear" w:color="auto" w:fill="FFFFFF"/>
          <w:lang w:val="en-US"/>
        </w:rPr>
        <w:t>bear</w:t>
      </w:r>
      <w:r>
        <w:rPr>
          <w:rFonts w:cstheme="minorHAnsi"/>
          <w:color w:val="000000"/>
          <w:shd w:val="clear" w:color="auto" w:fill="FFFFFF"/>
          <w:lang w:val="en-US"/>
        </w:rPr>
        <w:t>s</w:t>
      </w:r>
      <w:r w:rsidRPr="00B30FC1">
        <w:rPr>
          <w:rFonts w:cstheme="minorHAnsi"/>
          <w:color w:val="000000"/>
          <w:sz w:val="24"/>
          <w:szCs w:val="24"/>
          <w:shd w:val="clear" w:color="auto" w:fill="FFFFFF"/>
          <w:lang w:val="en-US"/>
        </w:rPr>
        <w:t xml:space="preserve"> the burden of proving that the contested use results from copying that design. The court continues by stating that “[…] if a Community design court finds that the fact of requiring that holder to prove that the contested use results from copying that design is likely to make it impossible or excessively difficult for such evidence to be produced, that court is required, in order to ensure observance of the principle of </w:t>
      </w:r>
      <w:r w:rsidRPr="00B30FC1">
        <w:rPr>
          <w:rFonts w:cstheme="minorHAnsi"/>
          <w:color w:val="000000"/>
          <w:sz w:val="24"/>
          <w:szCs w:val="24"/>
          <w:shd w:val="clear" w:color="auto" w:fill="FFFFFF"/>
          <w:lang w:val="en-US"/>
        </w:rPr>
        <w:lastRenderedPageBreak/>
        <w:t>effectiveness, to use all procedures available to it under national law to counter that difficulty, including, where appropriate, rules of national law which provide for the burden of proof to be adjusted or lightened.” (C-479/12, para 44).</w:t>
      </w:r>
    </w:p>
    <w:p w14:paraId="22E84829" w14:textId="4F5B6FC8" w:rsidR="00C205D6" w:rsidRPr="00B30FC1" w:rsidRDefault="00C205D6" w:rsidP="00C205D6">
      <w:pPr>
        <w:rPr>
          <w:rFonts w:cstheme="minorHAnsi"/>
          <w:color w:val="000000"/>
          <w:sz w:val="24"/>
          <w:szCs w:val="24"/>
          <w:shd w:val="clear" w:color="auto" w:fill="FFFFFF"/>
          <w:lang w:val="en-US"/>
        </w:rPr>
      </w:pPr>
      <w:r w:rsidRPr="00B30FC1">
        <w:rPr>
          <w:rFonts w:cstheme="minorHAnsi"/>
          <w:color w:val="000000"/>
          <w:sz w:val="24"/>
          <w:szCs w:val="24"/>
          <w:shd w:val="clear" w:color="auto" w:fill="FFFFFF"/>
          <w:lang w:val="en-US"/>
        </w:rPr>
        <w:t xml:space="preserve">It is quite common in infringement actions that the defendant tries to attack the validity of the design right. Article 85.1 </w:t>
      </w:r>
      <w:r w:rsidR="00322AB7">
        <w:rPr>
          <w:rFonts w:cstheme="minorHAnsi"/>
          <w:color w:val="000000"/>
          <w:sz w:val="24"/>
          <w:szCs w:val="24"/>
          <w:shd w:val="clear" w:color="auto" w:fill="FFFFFF"/>
          <w:lang w:val="en-US"/>
        </w:rPr>
        <w:t>RCD</w:t>
      </w:r>
      <w:r w:rsidRPr="00B30FC1">
        <w:rPr>
          <w:rFonts w:cstheme="minorHAnsi"/>
          <w:color w:val="000000"/>
          <w:sz w:val="24"/>
          <w:szCs w:val="24"/>
          <w:shd w:val="clear" w:color="auto" w:fill="FFFFFF"/>
          <w:lang w:val="en-US"/>
        </w:rPr>
        <w:t xml:space="preserve"> states that the Community design court shall treat the registered Community design as valid. However, the validity can be challenged in a counterclaim for a declaration of invalidity. If invalidity of a Community design is submitted in a plea otherwise than by way of counterclaim it shall be admissible in so far as the defendant claims that the Community design could be declared invalid on account of an earlier national design right, article 85.1 </w:t>
      </w:r>
      <w:r w:rsidR="00322AB7">
        <w:rPr>
          <w:rFonts w:cstheme="minorHAnsi"/>
          <w:color w:val="000000"/>
          <w:sz w:val="24"/>
          <w:szCs w:val="24"/>
          <w:shd w:val="clear" w:color="auto" w:fill="FFFFFF"/>
          <w:lang w:val="en-US"/>
        </w:rPr>
        <w:t>RCD</w:t>
      </w:r>
      <w:r w:rsidRPr="00B30FC1">
        <w:rPr>
          <w:rFonts w:cstheme="minorHAnsi"/>
          <w:color w:val="000000"/>
          <w:sz w:val="24"/>
          <w:szCs w:val="24"/>
          <w:shd w:val="clear" w:color="auto" w:fill="FFFFFF"/>
          <w:lang w:val="en-US"/>
        </w:rPr>
        <w:t>.</w:t>
      </w:r>
    </w:p>
    <w:p w14:paraId="5F51B738" w14:textId="743620D4" w:rsidR="00C205D6" w:rsidRPr="00B30FC1" w:rsidRDefault="00C205D6" w:rsidP="00C205D6">
      <w:pPr>
        <w:rPr>
          <w:rFonts w:cstheme="minorHAnsi"/>
          <w:color w:val="000000"/>
          <w:sz w:val="24"/>
          <w:szCs w:val="24"/>
          <w:shd w:val="clear" w:color="auto" w:fill="FFFFFF"/>
          <w:lang w:val="en-US"/>
        </w:rPr>
      </w:pPr>
      <w:r w:rsidRPr="00B30FC1">
        <w:rPr>
          <w:rFonts w:cstheme="minorHAnsi"/>
          <w:color w:val="000000"/>
          <w:sz w:val="24"/>
          <w:szCs w:val="24"/>
          <w:shd w:val="clear" w:color="auto" w:fill="FFFFFF"/>
          <w:lang w:val="en-US"/>
        </w:rPr>
        <w:t>When it comes to unregistered design article 85.2 states that the “Community design court shall treat the Community design as valid if the right holder produces proof that the conditions laid down in Article 11 have been met and indicates what constitutes the individual character of his Community design. However, the defendant may contest its validity by way of a plea or with a counterclaim for a declaration of invalidity”.</w:t>
      </w:r>
    </w:p>
    <w:p w14:paraId="4F2E9BA1" w14:textId="5BEE47BE" w:rsidR="00C205D6" w:rsidRPr="00B30FC1" w:rsidRDefault="00C205D6" w:rsidP="00C205D6">
      <w:pPr>
        <w:rPr>
          <w:rFonts w:cstheme="minorHAnsi"/>
          <w:color w:val="000000"/>
          <w:sz w:val="24"/>
          <w:szCs w:val="24"/>
          <w:shd w:val="clear" w:color="auto" w:fill="FFFFFF"/>
          <w:lang w:val="en-US"/>
        </w:rPr>
      </w:pPr>
      <w:r w:rsidRPr="00B30FC1">
        <w:rPr>
          <w:rFonts w:cstheme="minorHAnsi"/>
          <w:color w:val="000000"/>
          <w:sz w:val="24"/>
          <w:szCs w:val="24"/>
          <w:shd w:val="clear" w:color="auto" w:fill="FFFFFF"/>
          <w:lang w:val="en-US"/>
        </w:rPr>
        <w:t>In the case C-345/13,</w:t>
      </w:r>
      <w:r w:rsidRPr="00B30FC1">
        <w:rPr>
          <w:rFonts w:cstheme="minorHAnsi"/>
          <w:sz w:val="24"/>
          <w:szCs w:val="24"/>
          <w:lang w:val="en-US"/>
        </w:rPr>
        <w:t xml:space="preserve"> </w:t>
      </w:r>
      <w:r w:rsidRPr="00B30FC1">
        <w:rPr>
          <w:rFonts w:cstheme="minorHAnsi"/>
          <w:color w:val="000000"/>
          <w:sz w:val="24"/>
          <w:szCs w:val="24"/>
          <w:shd w:val="clear" w:color="auto" w:fill="FFFFFF"/>
          <w:lang w:val="en-US"/>
        </w:rPr>
        <w:t xml:space="preserve">EU:C:2014:2013, Karen Millen, CJEU clarified that in order for a Community design court to treat an unregistered Community design as valid under article 85.2 </w:t>
      </w:r>
      <w:r w:rsidR="00322AB7">
        <w:rPr>
          <w:rFonts w:cstheme="minorHAnsi"/>
          <w:color w:val="000000"/>
          <w:sz w:val="24"/>
          <w:szCs w:val="24"/>
          <w:shd w:val="clear" w:color="auto" w:fill="FFFFFF"/>
          <w:lang w:val="en-US"/>
        </w:rPr>
        <w:t>RCD</w:t>
      </w:r>
      <w:r w:rsidRPr="00B30FC1">
        <w:rPr>
          <w:rFonts w:cstheme="minorHAnsi"/>
          <w:color w:val="000000"/>
          <w:sz w:val="24"/>
          <w:szCs w:val="24"/>
          <w:shd w:val="clear" w:color="auto" w:fill="FFFFFF"/>
          <w:lang w:val="en-US"/>
        </w:rPr>
        <w:t xml:space="preserve">, the right holder is not required to prove that the design has individual character within the meaning of Article 6 </w:t>
      </w:r>
      <w:r w:rsidR="00322AB7">
        <w:rPr>
          <w:rFonts w:cstheme="minorHAnsi"/>
          <w:color w:val="000000"/>
          <w:sz w:val="24"/>
          <w:szCs w:val="24"/>
          <w:shd w:val="clear" w:color="auto" w:fill="FFFFFF"/>
          <w:lang w:val="en-US"/>
        </w:rPr>
        <w:t>RCD</w:t>
      </w:r>
      <w:r w:rsidRPr="00B30FC1">
        <w:rPr>
          <w:rFonts w:cstheme="minorHAnsi"/>
          <w:color w:val="000000"/>
          <w:sz w:val="24"/>
          <w:szCs w:val="24"/>
          <w:shd w:val="clear" w:color="auto" w:fill="FFFFFF"/>
          <w:lang w:val="en-US"/>
        </w:rPr>
        <w:t>, but need only indicate what constitutes the individual character of that design, that is to say, indicates what, in his view, are the element or elements of the design concerned which give it its individual character (para 47)</w:t>
      </w:r>
    </w:p>
    <w:p w14:paraId="313A2431" w14:textId="05DFF362" w:rsidR="00C205D6" w:rsidRPr="00B30FC1" w:rsidRDefault="00C205D6" w:rsidP="00C205D6">
      <w:pPr>
        <w:rPr>
          <w:rStyle w:val="eop"/>
          <w:rFonts w:cstheme="minorHAnsi"/>
          <w:color w:val="000000"/>
          <w:sz w:val="24"/>
          <w:szCs w:val="24"/>
          <w:shd w:val="clear" w:color="auto" w:fill="FFFFFF"/>
          <w:lang w:val="en-US"/>
        </w:rPr>
      </w:pPr>
      <w:r w:rsidRPr="00B30FC1">
        <w:rPr>
          <w:rFonts w:cstheme="minorHAnsi"/>
          <w:color w:val="000000"/>
          <w:sz w:val="24"/>
          <w:szCs w:val="24"/>
          <w:shd w:val="clear" w:color="auto" w:fill="FFFFFF"/>
          <w:lang w:val="en-US"/>
        </w:rPr>
        <w:t>When a limitation is applicable</w:t>
      </w:r>
      <w:r>
        <w:rPr>
          <w:rFonts w:cstheme="minorHAnsi"/>
          <w:color w:val="000000"/>
          <w:shd w:val="clear" w:color="auto" w:fill="FFFFFF"/>
          <w:lang w:val="en-US"/>
        </w:rPr>
        <w:t>,</w:t>
      </w:r>
      <w:r w:rsidRPr="00B30FC1">
        <w:rPr>
          <w:rFonts w:cstheme="minorHAnsi"/>
          <w:color w:val="000000"/>
          <w:sz w:val="24"/>
          <w:szCs w:val="24"/>
          <w:shd w:val="clear" w:color="auto" w:fill="FFFFFF"/>
          <w:lang w:val="en-US"/>
        </w:rPr>
        <w:t xml:space="preserve"> there is no infringement. This is the case </w:t>
      </w:r>
      <w:r w:rsidRPr="00B30FC1">
        <w:rPr>
          <w:rStyle w:val="eop"/>
          <w:rFonts w:cstheme="minorHAnsi"/>
          <w:color w:val="000000"/>
          <w:sz w:val="24"/>
          <w:szCs w:val="24"/>
          <w:shd w:val="clear" w:color="auto" w:fill="FFFFFF"/>
          <w:lang w:val="en-US"/>
        </w:rPr>
        <w:t>if the acts are done privately and for non-commercial purposes. For example, if someone make</w:t>
      </w:r>
      <w:r>
        <w:rPr>
          <w:rStyle w:val="eop"/>
          <w:rFonts w:cstheme="minorHAnsi"/>
          <w:color w:val="000000"/>
          <w:shd w:val="clear" w:color="auto" w:fill="FFFFFF"/>
          <w:lang w:val="en-US"/>
        </w:rPr>
        <w:t>s</w:t>
      </w:r>
      <w:r w:rsidRPr="00B30FC1">
        <w:rPr>
          <w:rStyle w:val="eop"/>
          <w:rFonts w:cstheme="minorHAnsi"/>
          <w:color w:val="000000"/>
          <w:sz w:val="24"/>
          <w:szCs w:val="24"/>
          <w:shd w:val="clear" w:color="auto" w:fill="FFFFFF"/>
          <w:lang w:val="en-US"/>
        </w:rPr>
        <w:t xml:space="preserve"> a dress for her </w:t>
      </w:r>
      <w:r>
        <w:rPr>
          <w:rStyle w:val="eop"/>
          <w:rFonts w:cstheme="minorHAnsi"/>
          <w:color w:val="000000"/>
          <w:shd w:val="clear" w:color="auto" w:fill="FFFFFF"/>
          <w:lang w:val="en-US"/>
        </w:rPr>
        <w:t>own</w:t>
      </w:r>
      <w:r w:rsidRPr="00B30FC1">
        <w:rPr>
          <w:rStyle w:val="eop"/>
          <w:rFonts w:cstheme="minorHAnsi"/>
          <w:color w:val="000000"/>
          <w:sz w:val="24"/>
          <w:szCs w:val="24"/>
          <w:shd w:val="clear" w:color="auto" w:fill="FFFFFF"/>
          <w:lang w:val="en-US"/>
        </w:rPr>
        <w:t xml:space="preserve"> use using a protected design as a model. </w:t>
      </w:r>
      <w:r w:rsidRPr="00386EDF">
        <w:rPr>
          <w:rStyle w:val="eop"/>
          <w:rFonts w:cstheme="minorHAnsi"/>
          <w:color w:val="000000"/>
          <w:shd w:val="clear" w:color="auto" w:fill="FFFFFF"/>
          <w:lang w:val="en-US"/>
        </w:rPr>
        <w:t xml:space="preserve">It is </w:t>
      </w:r>
      <w:r w:rsidR="00694FF8">
        <w:rPr>
          <w:rStyle w:val="eop"/>
          <w:rFonts w:cstheme="minorHAnsi"/>
          <w:color w:val="000000"/>
          <w:shd w:val="clear" w:color="auto" w:fill="FFFFFF"/>
          <w:lang w:val="en-US"/>
        </w:rPr>
        <w:t xml:space="preserve">not </w:t>
      </w:r>
      <w:r w:rsidRPr="00B30FC1">
        <w:rPr>
          <w:rStyle w:val="eop"/>
          <w:rFonts w:cstheme="minorHAnsi"/>
          <w:color w:val="000000"/>
          <w:sz w:val="24"/>
          <w:szCs w:val="24"/>
          <w:shd w:val="clear" w:color="auto" w:fill="FFFFFF"/>
          <w:lang w:val="en-US"/>
        </w:rPr>
        <w:t xml:space="preserve">an infringement </w:t>
      </w:r>
      <w:r w:rsidR="00694FF8">
        <w:rPr>
          <w:rStyle w:val="eop"/>
          <w:rFonts w:cstheme="minorHAnsi"/>
          <w:color w:val="000000"/>
          <w:sz w:val="24"/>
          <w:szCs w:val="24"/>
          <w:shd w:val="clear" w:color="auto" w:fill="FFFFFF"/>
          <w:lang w:val="en-US"/>
        </w:rPr>
        <w:t xml:space="preserve">either </w:t>
      </w:r>
      <w:r w:rsidRPr="00B30FC1">
        <w:rPr>
          <w:rStyle w:val="eop"/>
          <w:rFonts w:cstheme="minorHAnsi"/>
          <w:color w:val="000000"/>
          <w:sz w:val="24"/>
          <w:szCs w:val="24"/>
          <w:shd w:val="clear" w:color="auto" w:fill="FFFFFF"/>
          <w:lang w:val="en-US"/>
        </w:rPr>
        <w:t>if the acts are done for experimental purposes, article 20</w:t>
      </w:r>
      <w:r>
        <w:rPr>
          <w:rStyle w:val="eop"/>
          <w:rFonts w:cstheme="minorHAnsi"/>
          <w:color w:val="000000"/>
          <w:shd w:val="clear" w:color="auto" w:fill="FFFFFF"/>
          <w:lang w:val="en-US"/>
        </w:rPr>
        <w:t>.1</w:t>
      </w:r>
      <w:r w:rsidRPr="00B30FC1">
        <w:rPr>
          <w:rStyle w:val="eop"/>
          <w:rFonts w:cstheme="minorHAnsi"/>
          <w:color w:val="000000"/>
          <w:sz w:val="24"/>
          <w:szCs w:val="24"/>
          <w:shd w:val="clear" w:color="auto" w:fill="FFFFFF"/>
          <w:lang w:val="en-US"/>
        </w:rPr>
        <w:t xml:space="preserve"> a-b </w:t>
      </w:r>
      <w:r w:rsidR="00322AB7">
        <w:rPr>
          <w:rStyle w:val="eop"/>
          <w:rFonts w:cstheme="minorHAnsi"/>
          <w:color w:val="000000"/>
          <w:sz w:val="24"/>
          <w:szCs w:val="24"/>
          <w:shd w:val="clear" w:color="auto" w:fill="FFFFFF"/>
          <w:lang w:val="en-US"/>
        </w:rPr>
        <w:t>RCD</w:t>
      </w:r>
      <w:r>
        <w:rPr>
          <w:rStyle w:val="eop"/>
          <w:rFonts w:cstheme="minorHAnsi"/>
          <w:color w:val="000000"/>
          <w:shd w:val="clear" w:color="auto" w:fill="FFFFFF"/>
          <w:lang w:val="en-US"/>
        </w:rPr>
        <w:t xml:space="preserve"> and article 13.1a-b DD</w:t>
      </w:r>
    </w:p>
    <w:p w14:paraId="5F9C9A84" w14:textId="0E275025" w:rsidR="00C205D6" w:rsidRPr="00C205D6" w:rsidRDefault="00C205D6" w:rsidP="00C205D6">
      <w:pPr>
        <w:rPr>
          <w:rFonts w:cstheme="minorHAnsi"/>
          <w:color w:val="000000"/>
          <w:sz w:val="24"/>
          <w:szCs w:val="24"/>
          <w:shd w:val="clear" w:color="auto" w:fill="FFFFFF"/>
          <w:lang w:val="en-US"/>
        </w:rPr>
      </w:pPr>
      <w:r w:rsidRPr="00693AB5">
        <w:rPr>
          <w:rStyle w:val="eop"/>
          <w:rFonts w:cstheme="minorHAnsi"/>
          <w:color w:val="000000"/>
          <w:shd w:val="clear" w:color="auto" w:fill="FFFFFF"/>
          <w:lang w:val="en-US"/>
        </w:rPr>
        <w:t>Another limitation is that</w:t>
      </w:r>
      <w:r w:rsidRPr="00693AB5">
        <w:rPr>
          <w:rFonts w:cstheme="minorHAnsi"/>
          <w:sz w:val="24"/>
          <w:szCs w:val="24"/>
          <w:lang w:val="en-US"/>
        </w:rPr>
        <w:t xml:space="preserve"> acts of reproduction for the purpose of making citations or of teaching</w:t>
      </w:r>
      <w:r w:rsidRPr="00693AB5">
        <w:rPr>
          <w:rFonts w:cstheme="minorHAnsi"/>
          <w:lang w:val="en-US"/>
        </w:rPr>
        <w:t xml:space="preserve"> </w:t>
      </w:r>
      <w:r w:rsidRPr="00993A6C">
        <w:rPr>
          <w:rFonts w:cstheme="minorHAnsi"/>
          <w:lang w:val="en-US"/>
        </w:rPr>
        <w:t>are not infringing</w:t>
      </w:r>
      <w:r>
        <w:rPr>
          <w:rFonts w:cstheme="minorHAnsi"/>
          <w:lang w:val="en-US"/>
        </w:rPr>
        <w:t xml:space="preserve"> </w:t>
      </w:r>
      <w:r w:rsidRPr="00693AB5">
        <w:rPr>
          <w:rFonts w:cstheme="minorHAnsi"/>
          <w:lang w:val="en-US"/>
        </w:rPr>
        <w:t xml:space="preserve">if the </w:t>
      </w:r>
      <w:r w:rsidR="00694FF8" w:rsidRPr="00693AB5">
        <w:rPr>
          <w:rFonts w:cstheme="minorHAnsi"/>
          <w:lang w:val="en-US"/>
        </w:rPr>
        <w:t>act</w:t>
      </w:r>
      <w:r w:rsidR="00694FF8">
        <w:rPr>
          <w:rFonts w:cstheme="minorHAnsi"/>
          <w:lang w:val="en-US"/>
        </w:rPr>
        <w:t>s</w:t>
      </w:r>
      <w:r w:rsidR="00694FF8" w:rsidRPr="00693AB5">
        <w:rPr>
          <w:rFonts w:cstheme="minorHAnsi"/>
          <w:lang w:val="en-US"/>
        </w:rPr>
        <w:t xml:space="preserve"> </w:t>
      </w:r>
      <w:r>
        <w:rPr>
          <w:rFonts w:cstheme="minorHAnsi"/>
          <w:lang w:val="en-US"/>
        </w:rPr>
        <w:t>are</w:t>
      </w:r>
      <w:r w:rsidRPr="00693AB5">
        <w:rPr>
          <w:rFonts w:cstheme="minorHAnsi"/>
          <w:sz w:val="24"/>
          <w:szCs w:val="24"/>
          <w:lang w:val="en-US"/>
        </w:rPr>
        <w:t xml:space="preserve"> </w:t>
      </w:r>
      <w:r w:rsidRPr="00693AB5">
        <w:rPr>
          <w:rFonts w:cstheme="minorHAnsi"/>
          <w:lang w:val="en-US"/>
        </w:rPr>
        <w:t>“</w:t>
      </w:r>
      <w:r w:rsidRPr="00693AB5">
        <w:rPr>
          <w:rFonts w:cstheme="minorHAnsi"/>
          <w:sz w:val="24"/>
          <w:szCs w:val="24"/>
          <w:lang w:val="en-US"/>
        </w:rPr>
        <w:t>compatible with fair trade practice and do not unduly prejudice the normal exploitation of the design, and that mention is made of the source</w:t>
      </w:r>
      <w:r w:rsidRPr="00693AB5">
        <w:rPr>
          <w:rFonts w:cstheme="minorHAnsi"/>
          <w:lang w:val="en-US"/>
        </w:rPr>
        <w:t>”, 20</w:t>
      </w:r>
      <w:r>
        <w:rPr>
          <w:rFonts w:cstheme="minorHAnsi"/>
          <w:lang w:val="en-US"/>
        </w:rPr>
        <w:t>.1</w:t>
      </w:r>
      <w:r w:rsidRPr="00693AB5">
        <w:rPr>
          <w:rFonts w:cstheme="minorHAnsi"/>
          <w:lang w:val="en-US"/>
        </w:rPr>
        <w:t xml:space="preserve"> c </w:t>
      </w:r>
      <w:r w:rsidR="00322AB7">
        <w:rPr>
          <w:rFonts w:cstheme="minorHAnsi"/>
          <w:lang w:val="en-US"/>
        </w:rPr>
        <w:t>RCD</w:t>
      </w:r>
      <w:r>
        <w:rPr>
          <w:rFonts w:cstheme="minorHAnsi"/>
          <w:lang w:val="en-US"/>
        </w:rPr>
        <w:t xml:space="preserve"> and 13.1c DD</w:t>
      </w:r>
      <w:r w:rsidRPr="00693AB5">
        <w:rPr>
          <w:rFonts w:cstheme="minorHAnsi"/>
          <w:lang w:val="en-US"/>
        </w:rPr>
        <w:t>.</w:t>
      </w:r>
    </w:p>
    <w:p w14:paraId="15E0A840" w14:textId="77777777" w:rsidR="00C205D6" w:rsidRDefault="00C205D6" w:rsidP="00C205D6">
      <w:pPr>
        <w:rPr>
          <w:rFonts w:cstheme="minorHAnsi"/>
          <w:lang w:val="en-US"/>
        </w:rPr>
      </w:pPr>
      <w:r>
        <w:rPr>
          <w:rFonts w:cstheme="minorHAnsi"/>
          <w:lang w:val="en-US"/>
        </w:rPr>
        <w:t>In the j</w:t>
      </w:r>
      <w:r w:rsidRPr="00693AB5">
        <w:rPr>
          <w:rFonts w:cstheme="minorHAnsi"/>
          <w:lang w:val="en-US"/>
        </w:rPr>
        <w:t xml:space="preserve">oined </w:t>
      </w:r>
      <w:r>
        <w:rPr>
          <w:rFonts w:cstheme="minorHAnsi"/>
          <w:lang w:val="en-US"/>
        </w:rPr>
        <w:t>c</w:t>
      </w:r>
      <w:r w:rsidRPr="00693AB5">
        <w:rPr>
          <w:rFonts w:cstheme="minorHAnsi"/>
          <w:lang w:val="en-US"/>
        </w:rPr>
        <w:t>ases C</w:t>
      </w:r>
      <w:r w:rsidRPr="00693AB5">
        <w:rPr>
          <w:rFonts w:ascii="Cambria Math" w:hAnsi="Cambria Math" w:cs="Cambria Math"/>
          <w:lang w:val="en-US"/>
        </w:rPr>
        <w:t>‑</w:t>
      </w:r>
      <w:r w:rsidRPr="00693AB5">
        <w:rPr>
          <w:rFonts w:cstheme="minorHAnsi"/>
          <w:lang w:val="en-US"/>
        </w:rPr>
        <w:t>24/16 and C</w:t>
      </w:r>
      <w:r w:rsidRPr="00693AB5">
        <w:rPr>
          <w:rFonts w:ascii="Cambria Math" w:hAnsi="Cambria Math" w:cs="Cambria Math"/>
          <w:lang w:val="en-US"/>
        </w:rPr>
        <w:t>‑</w:t>
      </w:r>
      <w:r w:rsidRPr="00693AB5">
        <w:rPr>
          <w:rFonts w:cstheme="minorHAnsi"/>
          <w:lang w:val="en-US"/>
        </w:rPr>
        <w:t>25/1</w:t>
      </w:r>
      <w:r>
        <w:rPr>
          <w:rFonts w:cstheme="minorHAnsi"/>
          <w:lang w:val="en-US"/>
        </w:rPr>
        <w:t xml:space="preserve">, </w:t>
      </w:r>
      <w:r w:rsidRPr="00693AB5">
        <w:rPr>
          <w:rFonts w:cstheme="minorHAnsi"/>
          <w:lang w:val="en-US"/>
        </w:rPr>
        <w:t>EU:C:2017:724</w:t>
      </w:r>
      <w:r>
        <w:rPr>
          <w:rFonts w:cstheme="minorHAnsi"/>
          <w:lang w:val="en-US"/>
        </w:rPr>
        <w:t xml:space="preserve">, Nintendo, the CJEU interpreted that </w:t>
      </w:r>
      <w:r w:rsidRPr="00B32FC6">
        <w:rPr>
          <w:rFonts w:cstheme="minorHAnsi"/>
          <w:i/>
          <w:iCs/>
          <w:lang w:val="en-US"/>
        </w:rPr>
        <w:t xml:space="preserve">making citation </w:t>
      </w:r>
      <w:r>
        <w:rPr>
          <w:rFonts w:cstheme="minorHAnsi"/>
          <w:lang w:val="en-US"/>
        </w:rPr>
        <w:t>could</w:t>
      </w:r>
      <w:r w:rsidRPr="00B30FC1">
        <w:rPr>
          <w:rFonts w:cstheme="minorHAnsi"/>
          <w:sz w:val="24"/>
          <w:szCs w:val="24"/>
          <w:lang w:val="en-US"/>
        </w:rPr>
        <w:t xml:space="preserve"> </w:t>
      </w:r>
      <w:r>
        <w:rPr>
          <w:rFonts w:cstheme="minorHAnsi"/>
          <w:lang w:val="en-US"/>
        </w:rPr>
        <w:t xml:space="preserve">include </w:t>
      </w:r>
      <w:r w:rsidRPr="00B30FC1">
        <w:rPr>
          <w:rFonts w:cstheme="minorHAnsi"/>
          <w:sz w:val="24"/>
          <w:szCs w:val="24"/>
          <w:lang w:val="en-US"/>
        </w:rPr>
        <w:t>uses</w:t>
      </w:r>
      <w:r>
        <w:rPr>
          <w:rFonts w:cstheme="minorHAnsi"/>
          <w:lang w:val="en-US"/>
        </w:rPr>
        <w:t xml:space="preserve"> of</w:t>
      </w:r>
      <w:r w:rsidRPr="00B30FC1">
        <w:rPr>
          <w:rFonts w:cstheme="minorHAnsi"/>
          <w:sz w:val="24"/>
          <w:szCs w:val="24"/>
          <w:lang w:val="en-US"/>
        </w:rPr>
        <w:t xml:space="preserve"> images of goods corresponding to </w:t>
      </w:r>
      <w:r>
        <w:rPr>
          <w:rFonts w:cstheme="minorHAnsi"/>
          <w:lang w:val="en-US"/>
        </w:rPr>
        <w:t xml:space="preserve">design protected goods </w:t>
      </w:r>
      <w:r w:rsidRPr="00B30FC1">
        <w:rPr>
          <w:rFonts w:cstheme="minorHAnsi"/>
          <w:sz w:val="24"/>
          <w:szCs w:val="24"/>
          <w:lang w:val="en-US"/>
        </w:rPr>
        <w:t xml:space="preserve">when lawfully offering for sale goods intended to be used as accessories to the </w:t>
      </w:r>
      <w:r>
        <w:rPr>
          <w:rFonts w:cstheme="minorHAnsi"/>
          <w:lang w:val="en-US"/>
        </w:rPr>
        <w:t>protected design</w:t>
      </w:r>
      <w:r w:rsidRPr="00B30FC1">
        <w:rPr>
          <w:rFonts w:cstheme="minorHAnsi"/>
          <w:sz w:val="24"/>
          <w:szCs w:val="24"/>
          <w:lang w:val="en-US"/>
        </w:rPr>
        <w:t xml:space="preserve">, in order to explain or demonstrate the joint use of the goods thus offered for sale and </w:t>
      </w:r>
      <w:r>
        <w:rPr>
          <w:rFonts w:cstheme="minorHAnsi"/>
          <w:lang w:val="en-US"/>
        </w:rPr>
        <w:t>the design protected goods(para 86).</w:t>
      </w:r>
    </w:p>
    <w:p w14:paraId="66A3611C" w14:textId="77777777" w:rsidR="00C205D6" w:rsidRDefault="00C205D6" w:rsidP="00C205D6">
      <w:pPr>
        <w:rPr>
          <w:rFonts w:cstheme="minorHAnsi"/>
          <w:lang w:val="en-US"/>
        </w:rPr>
      </w:pPr>
    </w:p>
    <w:p w14:paraId="24D1626A" w14:textId="29FE1207" w:rsidR="00C205D6" w:rsidRPr="00532E3E" w:rsidRDefault="00C205D6" w:rsidP="00C205D6">
      <w:pPr>
        <w:rPr>
          <w:rFonts w:cstheme="minorHAnsi"/>
          <w:sz w:val="24"/>
          <w:szCs w:val="24"/>
          <w:lang w:val="en-US"/>
        </w:rPr>
      </w:pPr>
      <w:r w:rsidRPr="00532E3E">
        <w:rPr>
          <w:rFonts w:cstheme="minorHAnsi"/>
          <w:lang w:val="en-US"/>
        </w:rPr>
        <w:t xml:space="preserve">Exhaustion of rights limits the right holder´s rights. Once the product, in which a design included within the scope of protection of the Community design is incorporated or to which it is applied, </w:t>
      </w:r>
      <w:r w:rsidRPr="00532E3E">
        <w:rPr>
          <w:rFonts w:cstheme="minorHAnsi"/>
          <w:sz w:val="24"/>
          <w:szCs w:val="24"/>
          <w:lang w:val="en-US"/>
        </w:rPr>
        <w:t>has been put on the market in the Community by the holder of the Community design or with his consent</w:t>
      </w:r>
      <w:r w:rsidRPr="00532E3E">
        <w:rPr>
          <w:rFonts w:cstheme="minorHAnsi"/>
          <w:lang w:val="en-US"/>
        </w:rPr>
        <w:t xml:space="preserve"> (article 21 </w:t>
      </w:r>
      <w:r w:rsidR="00322AB7">
        <w:rPr>
          <w:rFonts w:cstheme="minorHAnsi"/>
          <w:lang w:val="en-US"/>
        </w:rPr>
        <w:t>RCD</w:t>
      </w:r>
      <w:r w:rsidRPr="00532E3E">
        <w:rPr>
          <w:rFonts w:cstheme="minorHAnsi"/>
          <w:lang w:val="en-US"/>
        </w:rPr>
        <w:t xml:space="preserve"> and article 15 DD).</w:t>
      </w:r>
    </w:p>
    <w:p w14:paraId="0F88B88C" w14:textId="77777777" w:rsidR="00C205D6" w:rsidRPr="00C205D6" w:rsidRDefault="00C205D6" w:rsidP="00C205D6">
      <w:pPr>
        <w:jc w:val="both"/>
        <w:rPr>
          <w:rFonts w:cstheme="minorHAnsi"/>
          <w:sz w:val="24"/>
          <w:szCs w:val="24"/>
          <w:lang w:val="en-US"/>
        </w:rPr>
      </w:pPr>
    </w:p>
    <w:bookmarkEnd w:id="2"/>
    <w:p w14:paraId="3D817CD1" w14:textId="35D2013D" w:rsidR="001703F7" w:rsidRPr="00474FAB" w:rsidRDefault="001703F7" w:rsidP="003B682F">
      <w:pPr>
        <w:pStyle w:val="ListParagraph"/>
        <w:numPr>
          <w:ilvl w:val="0"/>
          <w:numId w:val="7"/>
        </w:numPr>
        <w:jc w:val="both"/>
        <w:rPr>
          <w:rFonts w:cstheme="minorHAnsi"/>
          <w:sz w:val="24"/>
          <w:szCs w:val="24"/>
          <w:lang w:val="en-US"/>
        </w:rPr>
      </w:pPr>
      <w:r w:rsidRPr="00474FAB">
        <w:rPr>
          <w:rFonts w:cstheme="minorHAnsi"/>
          <w:sz w:val="24"/>
          <w:szCs w:val="24"/>
          <w:lang w:val="en-US"/>
        </w:rPr>
        <w:lastRenderedPageBreak/>
        <w:t>CONTEMPORARY ISSUES IN THE FASHION INDUSTRY</w:t>
      </w:r>
    </w:p>
    <w:p w14:paraId="04270CD3" w14:textId="77777777" w:rsidR="00E759C0" w:rsidRPr="00474FAB" w:rsidRDefault="00E759C0" w:rsidP="00E759C0">
      <w:pPr>
        <w:pStyle w:val="ListParagraph"/>
        <w:jc w:val="both"/>
        <w:rPr>
          <w:rFonts w:cstheme="minorHAnsi"/>
          <w:sz w:val="24"/>
          <w:szCs w:val="24"/>
          <w:lang w:val="en-US"/>
        </w:rPr>
      </w:pPr>
    </w:p>
    <w:p w14:paraId="2B9E281B" w14:textId="67D81231" w:rsidR="001703F7" w:rsidRPr="00474FAB" w:rsidRDefault="001703F7" w:rsidP="001627EE">
      <w:pPr>
        <w:pStyle w:val="ListParagraph"/>
        <w:numPr>
          <w:ilvl w:val="0"/>
          <w:numId w:val="6"/>
        </w:numPr>
        <w:jc w:val="both"/>
        <w:rPr>
          <w:rFonts w:cstheme="minorHAnsi"/>
          <w:sz w:val="24"/>
          <w:szCs w:val="24"/>
          <w:lang w:val="en-US"/>
        </w:rPr>
      </w:pPr>
      <w:r w:rsidRPr="00474FAB">
        <w:rPr>
          <w:rFonts w:cstheme="minorHAnsi"/>
          <w:sz w:val="24"/>
          <w:szCs w:val="24"/>
          <w:lang w:val="en-US"/>
        </w:rPr>
        <w:t xml:space="preserve">Artificial Intelligence, Fashion and Design Law </w:t>
      </w:r>
    </w:p>
    <w:p w14:paraId="1D38A1AC" w14:textId="77777777" w:rsidR="00E759C0" w:rsidRPr="00474FAB" w:rsidRDefault="00E759C0" w:rsidP="001627EE">
      <w:pPr>
        <w:pStyle w:val="ListParagraph"/>
        <w:ind w:left="1080"/>
        <w:jc w:val="both"/>
        <w:rPr>
          <w:rFonts w:cstheme="minorHAnsi"/>
          <w:sz w:val="24"/>
          <w:szCs w:val="24"/>
          <w:lang w:val="en-US"/>
        </w:rPr>
      </w:pPr>
    </w:p>
    <w:p w14:paraId="78326C54" w14:textId="4C525864" w:rsidR="00E759C0" w:rsidRPr="00E759C0" w:rsidRDefault="00E759C0" w:rsidP="00E759C0">
      <w:pPr>
        <w:spacing w:line="256" w:lineRule="auto"/>
        <w:rPr>
          <w:rFonts w:ascii="Calibri" w:eastAsia="Calibri" w:hAnsi="Calibri" w:cs="Times New Roman"/>
          <w:sz w:val="24"/>
          <w:szCs w:val="24"/>
          <w:lang w:val="en-US"/>
        </w:rPr>
      </w:pPr>
      <w:r w:rsidRPr="00E759C0">
        <w:rPr>
          <w:rFonts w:ascii="Calibri" w:eastAsia="Calibri" w:hAnsi="Calibri" w:cs="Times New Roman"/>
          <w:sz w:val="24"/>
          <w:szCs w:val="24"/>
          <w:lang w:val="en-US"/>
        </w:rPr>
        <w:t xml:space="preserve">Artificial intelligence is fast developing in all parts of the World. The EU fashion industry is no exception to this trend, that permits to speed up and often further refine creations of fashion products. Clearly enough, protection of such works do obey the traditional dichotomy that the most common tools for protecting fashion are copyright and design law. Indeed, in Europe, since the adoption in 2001 of an EU Legislation protecting registered industrial designs, and to a lesser extent unregistered industrial designs, a new momentum </w:t>
      </w:r>
      <w:r w:rsidR="00922B72">
        <w:rPr>
          <w:rFonts w:ascii="Calibri" w:eastAsia="Calibri" w:hAnsi="Calibri" w:cs="Times New Roman"/>
          <w:sz w:val="24"/>
          <w:szCs w:val="24"/>
          <w:lang w:val="en-US"/>
        </w:rPr>
        <w:t>has been gained</w:t>
      </w:r>
      <w:r w:rsidR="00922B72" w:rsidRPr="00E759C0">
        <w:rPr>
          <w:rFonts w:ascii="Calibri" w:eastAsia="Calibri" w:hAnsi="Calibri" w:cs="Times New Roman"/>
          <w:sz w:val="24"/>
          <w:szCs w:val="24"/>
          <w:lang w:val="en-US"/>
        </w:rPr>
        <w:t xml:space="preserve"> </w:t>
      </w:r>
      <w:r w:rsidR="00922B72">
        <w:rPr>
          <w:rFonts w:ascii="Calibri" w:eastAsia="Calibri" w:hAnsi="Calibri" w:cs="Times New Roman"/>
          <w:sz w:val="24"/>
          <w:szCs w:val="24"/>
          <w:lang w:val="en-US"/>
        </w:rPr>
        <w:t>during</w:t>
      </w:r>
      <w:r w:rsidR="00922B72" w:rsidRPr="00E759C0">
        <w:rPr>
          <w:rFonts w:ascii="Calibri" w:eastAsia="Calibri" w:hAnsi="Calibri" w:cs="Times New Roman"/>
          <w:sz w:val="24"/>
          <w:szCs w:val="24"/>
          <w:lang w:val="en-US"/>
        </w:rPr>
        <w:t xml:space="preserve"> </w:t>
      </w:r>
      <w:r w:rsidRPr="00E759C0">
        <w:rPr>
          <w:rFonts w:ascii="Calibri" w:eastAsia="Calibri" w:hAnsi="Calibri" w:cs="Times New Roman"/>
          <w:sz w:val="24"/>
          <w:szCs w:val="24"/>
          <w:lang w:val="en-US"/>
        </w:rPr>
        <w:t>the last 20 years, favoring double protection of new fashion products as much as possible, combined with strong EU trademark protection. Indeed, the immense possibilities offered by Artificial Intelligence</w:t>
      </w:r>
      <w:r w:rsidR="00922B72">
        <w:rPr>
          <w:rFonts w:ascii="Calibri" w:eastAsia="Calibri" w:hAnsi="Calibri" w:cs="Times New Roman"/>
          <w:sz w:val="24"/>
          <w:szCs w:val="24"/>
          <w:lang w:val="en-US"/>
        </w:rPr>
        <w:t xml:space="preserve"> (AI)</w:t>
      </w:r>
      <w:r w:rsidRPr="00E759C0">
        <w:rPr>
          <w:rFonts w:ascii="Calibri" w:eastAsia="Calibri" w:hAnsi="Calibri" w:cs="Times New Roman"/>
          <w:sz w:val="24"/>
          <w:szCs w:val="24"/>
          <w:lang w:val="en-US"/>
        </w:rPr>
        <w:t xml:space="preserve"> in fashion creations immediately </w:t>
      </w:r>
      <w:r w:rsidR="00922B72">
        <w:rPr>
          <w:rFonts w:ascii="Calibri" w:eastAsia="Calibri" w:hAnsi="Calibri" w:cs="Times New Roman"/>
          <w:sz w:val="24"/>
          <w:szCs w:val="24"/>
          <w:lang w:val="en-US"/>
        </w:rPr>
        <w:t>raises</w:t>
      </w:r>
      <w:r w:rsidR="00922B72" w:rsidRPr="00E759C0">
        <w:rPr>
          <w:rFonts w:ascii="Calibri" w:eastAsia="Calibri" w:hAnsi="Calibri" w:cs="Times New Roman"/>
          <w:sz w:val="24"/>
          <w:szCs w:val="24"/>
          <w:lang w:val="en-US"/>
        </w:rPr>
        <w:t xml:space="preserve"> </w:t>
      </w:r>
      <w:r w:rsidRPr="00E759C0">
        <w:rPr>
          <w:rFonts w:ascii="Calibri" w:eastAsia="Calibri" w:hAnsi="Calibri" w:cs="Times New Roman"/>
          <w:sz w:val="24"/>
          <w:szCs w:val="24"/>
          <w:lang w:val="en-US"/>
        </w:rPr>
        <w:t xml:space="preserve">the question </w:t>
      </w:r>
      <w:r w:rsidR="00922B72" w:rsidRPr="00E759C0">
        <w:rPr>
          <w:rFonts w:ascii="Calibri" w:eastAsia="Calibri" w:hAnsi="Calibri" w:cs="Times New Roman"/>
          <w:sz w:val="24"/>
          <w:szCs w:val="24"/>
          <w:lang w:val="en-US"/>
        </w:rPr>
        <w:t>o</w:t>
      </w:r>
      <w:r w:rsidR="00922B72">
        <w:rPr>
          <w:rFonts w:ascii="Calibri" w:eastAsia="Calibri" w:hAnsi="Calibri" w:cs="Times New Roman"/>
          <w:sz w:val="24"/>
          <w:szCs w:val="24"/>
          <w:lang w:val="en-US"/>
        </w:rPr>
        <w:t>f</w:t>
      </w:r>
      <w:r w:rsidR="00922B72" w:rsidRPr="00E759C0">
        <w:rPr>
          <w:rFonts w:ascii="Calibri" w:eastAsia="Calibri" w:hAnsi="Calibri" w:cs="Times New Roman"/>
          <w:sz w:val="24"/>
          <w:szCs w:val="24"/>
          <w:lang w:val="en-US"/>
        </w:rPr>
        <w:t xml:space="preserve"> </w:t>
      </w:r>
      <w:r w:rsidRPr="00E759C0">
        <w:rPr>
          <w:rFonts w:ascii="Calibri" w:eastAsia="Calibri" w:hAnsi="Calibri" w:cs="Times New Roman"/>
          <w:sz w:val="24"/>
          <w:szCs w:val="24"/>
          <w:lang w:val="en-US"/>
        </w:rPr>
        <w:t>possible protection or not of creative processes resulting from Artificial Intelligence created fashion, and if so, of their ownership.  Design law, just as copyright, is neutral with respect to the creative process. The criterion of novelty/ original shape for artificial intelligence fashion creations can be considered for admitting or not appropriation on them through registered Community Designs /Unregistered Community Design rights. The EU jurisdiction therefore offers vast possibilities of testing legal analysis for this matter compared to other jurisdictions, including the US</w:t>
      </w:r>
      <w:r w:rsidRPr="00E759C0">
        <w:rPr>
          <w:rFonts w:ascii="Calibri" w:eastAsia="Calibri" w:hAnsi="Calibri" w:cs="Times New Roman"/>
          <w:sz w:val="24"/>
          <w:szCs w:val="24"/>
          <w:vertAlign w:val="superscript"/>
          <w:lang w:val="en-US"/>
        </w:rPr>
        <w:footnoteReference w:id="87"/>
      </w:r>
      <w:r w:rsidRPr="00E759C0">
        <w:rPr>
          <w:rFonts w:ascii="Calibri" w:eastAsia="Calibri" w:hAnsi="Calibri" w:cs="Times New Roman"/>
          <w:sz w:val="24"/>
          <w:szCs w:val="24"/>
          <w:lang w:val="en-US"/>
        </w:rPr>
        <w:t>.</w:t>
      </w:r>
    </w:p>
    <w:p w14:paraId="4172C5D5" w14:textId="0E15CFD2" w:rsidR="00E759C0" w:rsidRPr="00E759C0" w:rsidRDefault="00E759C0" w:rsidP="00E759C0">
      <w:pPr>
        <w:spacing w:line="256" w:lineRule="auto"/>
        <w:rPr>
          <w:rFonts w:ascii="Calibri" w:eastAsia="Calibri" w:hAnsi="Calibri" w:cs="Times New Roman"/>
          <w:sz w:val="24"/>
          <w:szCs w:val="24"/>
          <w:lang w:val="en-US"/>
        </w:rPr>
      </w:pPr>
      <w:proofErr w:type="gramStart"/>
      <w:r w:rsidRPr="00E759C0">
        <w:rPr>
          <w:rFonts w:ascii="Calibri" w:eastAsia="Calibri" w:hAnsi="Calibri" w:cs="Times New Roman"/>
          <w:sz w:val="24"/>
          <w:szCs w:val="24"/>
          <w:lang w:val="en-US"/>
        </w:rPr>
        <w:t>First of all</w:t>
      </w:r>
      <w:proofErr w:type="gramEnd"/>
      <w:r w:rsidRPr="00E759C0">
        <w:rPr>
          <w:rFonts w:ascii="Calibri" w:eastAsia="Calibri" w:hAnsi="Calibri" w:cs="Times New Roman"/>
          <w:sz w:val="24"/>
          <w:szCs w:val="24"/>
          <w:lang w:val="en-US"/>
        </w:rPr>
        <w:t xml:space="preserve">, the product must have a new appearance. The criterion of novelty (a comparison with the opposable prior art identified) permits AI to play its role as a creative tool and AI databases permit to identify new appearances, i.e. “not </w:t>
      </w:r>
      <w:proofErr w:type="spellStart"/>
      <w:r w:rsidRPr="00E759C0">
        <w:rPr>
          <w:rFonts w:ascii="Calibri" w:eastAsia="Calibri" w:hAnsi="Calibri" w:cs="Times New Roman"/>
          <w:sz w:val="24"/>
          <w:szCs w:val="24"/>
          <w:lang w:val="en-US"/>
        </w:rPr>
        <w:t>not</w:t>
      </w:r>
      <w:proofErr w:type="spellEnd"/>
      <w:r w:rsidRPr="00E759C0">
        <w:rPr>
          <w:rFonts w:ascii="Calibri" w:eastAsia="Calibri" w:hAnsi="Calibri" w:cs="Times New Roman"/>
          <w:sz w:val="24"/>
          <w:szCs w:val="24"/>
          <w:lang w:val="en-US"/>
        </w:rPr>
        <w:t>”</w:t>
      </w:r>
      <w:r w:rsidR="00922B72">
        <w:rPr>
          <w:rFonts w:ascii="Calibri" w:eastAsia="Calibri" w:hAnsi="Calibri" w:cs="Times New Roman"/>
          <w:sz w:val="24"/>
          <w:szCs w:val="24"/>
          <w:lang w:val="en-US"/>
        </w:rPr>
        <w:t xml:space="preserve"> </w:t>
      </w:r>
      <w:r w:rsidRPr="00E759C0">
        <w:rPr>
          <w:rFonts w:ascii="Calibri" w:eastAsia="Calibri" w:hAnsi="Calibri" w:cs="Times New Roman"/>
          <w:sz w:val="24"/>
          <w:szCs w:val="24"/>
          <w:lang w:val="en-US"/>
        </w:rPr>
        <w:t xml:space="preserve">new appearances. Identically, the shape of the product plays a key role. An AI tool is based on the use of statistical models, and it is always possible </w:t>
      </w:r>
      <w:r w:rsidR="00922B72">
        <w:rPr>
          <w:rFonts w:ascii="Calibri" w:eastAsia="Calibri" w:hAnsi="Calibri" w:cs="Times New Roman"/>
          <w:sz w:val="24"/>
          <w:szCs w:val="24"/>
          <w:lang w:val="en-US"/>
        </w:rPr>
        <w:t xml:space="preserve">for </w:t>
      </w:r>
      <w:r w:rsidRPr="00E759C0">
        <w:rPr>
          <w:rFonts w:ascii="Calibri" w:eastAsia="Calibri" w:hAnsi="Calibri" w:cs="Times New Roman"/>
          <w:sz w:val="24"/>
          <w:szCs w:val="24"/>
          <w:lang w:val="en-US"/>
        </w:rPr>
        <w:t xml:space="preserve">new products </w:t>
      </w:r>
      <w:r w:rsidR="00922B72">
        <w:rPr>
          <w:rFonts w:ascii="Calibri" w:eastAsia="Calibri" w:hAnsi="Calibri" w:cs="Times New Roman"/>
          <w:sz w:val="24"/>
          <w:szCs w:val="24"/>
          <w:lang w:val="en-US"/>
        </w:rPr>
        <w:t xml:space="preserve">to </w:t>
      </w:r>
      <w:r w:rsidRPr="00E759C0">
        <w:rPr>
          <w:rFonts w:ascii="Calibri" w:eastAsia="Calibri" w:hAnsi="Calibri" w:cs="Times New Roman"/>
          <w:sz w:val="24"/>
          <w:szCs w:val="24"/>
          <w:lang w:val="en-US"/>
        </w:rPr>
        <w:t>be derivatives of existing ones thanks to a trained algorithm. This is ideal for fashion, as it is a constantly evolving sector.</w:t>
      </w:r>
    </w:p>
    <w:p w14:paraId="6B1C44D5" w14:textId="77777777" w:rsidR="00E759C0" w:rsidRPr="00E759C0" w:rsidRDefault="00E759C0" w:rsidP="00E759C0">
      <w:pPr>
        <w:spacing w:line="256" w:lineRule="auto"/>
        <w:rPr>
          <w:rFonts w:ascii="Calibri" w:eastAsia="Calibri" w:hAnsi="Calibri" w:cs="Times New Roman"/>
          <w:sz w:val="24"/>
          <w:szCs w:val="24"/>
          <w:lang w:val="en-US"/>
        </w:rPr>
      </w:pPr>
      <w:r w:rsidRPr="00E759C0">
        <w:rPr>
          <w:rFonts w:ascii="Calibri" w:eastAsia="Calibri" w:hAnsi="Calibri" w:cs="Times New Roman"/>
          <w:sz w:val="24"/>
          <w:szCs w:val="24"/>
          <w:lang w:val="en-US"/>
        </w:rPr>
        <w:t>However, it may be necessary to take into consideration the influence of the analysis grid developed by European Union Courts</w:t>
      </w:r>
      <w:r w:rsidRPr="00E759C0">
        <w:rPr>
          <w:rFonts w:ascii="Calibri" w:eastAsia="Calibri" w:hAnsi="Calibri" w:cs="Times New Roman"/>
          <w:sz w:val="24"/>
          <w:szCs w:val="24"/>
          <w:vertAlign w:val="superscript"/>
          <w:lang w:val="en-US"/>
        </w:rPr>
        <w:footnoteReference w:id="88"/>
      </w:r>
      <w:r w:rsidRPr="00E759C0">
        <w:rPr>
          <w:rFonts w:ascii="Calibri" w:eastAsia="Calibri" w:hAnsi="Calibri" w:cs="Times New Roman"/>
          <w:sz w:val="24"/>
          <w:szCs w:val="24"/>
          <w:lang w:val="en-US"/>
        </w:rPr>
        <w:t>: indeed, they attribute a key role to the freedom of the designer creator in the assessment of individual character for the assessment of the specific character: account is taken of the freedom left to the creator in the creation of the design or model, in full accordance with Community Designs Regulation 6/2002 that states:</w:t>
      </w:r>
    </w:p>
    <w:p w14:paraId="36899205" w14:textId="77777777" w:rsidR="00E759C0" w:rsidRPr="00E759C0" w:rsidRDefault="00E759C0" w:rsidP="00E759C0">
      <w:pPr>
        <w:spacing w:line="256" w:lineRule="auto"/>
        <w:rPr>
          <w:rFonts w:ascii="Calibri" w:eastAsia="Calibri" w:hAnsi="Calibri" w:cs="Times New Roman"/>
          <w:i/>
          <w:sz w:val="24"/>
          <w:szCs w:val="24"/>
          <w:lang w:val="en-US"/>
        </w:rPr>
      </w:pPr>
      <w:r w:rsidRPr="00E759C0">
        <w:rPr>
          <w:rFonts w:ascii="Calibri" w:eastAsia="Calibri" w:hAnsi="Calibri" w:cs="Times New Roman"/>
          <w:i/>
          <w:sz w:val="24"/>
          <w:szCs w:val="24"/>
          <w:lang w:val="en-US"/>
        </w:rPr>
        <w:t>Article 6: Individual character</w:t>
      </w:r>
    </w:p>
    <w:p w14:paraId="56B3A05C" w14:textId="77777777" w:rsidR="00E759C0" w:rsidRPr="00E759C0" w:rsidRDefault="00E759C0" w:rsidP="00E759C0">
      <w:pPr>
        <w:spacing w:line="256" w:lineRule="auto"/>
        <w:rPr>
          <w:rFonts w:ascii="Calibri" w:eastAsia="Calibri" w:hAnsi="Calibri" w:cs="Times New Roman"/>
          <w:i/>
          <w:sz w:val="24"/>
          <w:szCs w:val="24"/>
          <w:lang w:val="en-US"/>
        </w:rPr>
      </w:pPr>
      <w:r w:rsidRPr="00E759C0">
        <w:rPr>
          <w:rFonts w:ascii="Calibri" w:eastAsia="Calibri" w:hAnsi="Calibri" w:cs="Times New Roman"/>
          <w:i/>
          <w:sz w:val="24"/>
          <w:szCs w:val="24"/>
          <w:lang w:val="en-US"/>
        </w:rPr>
        <w:t>A design shall be considered to have individual character if the overall impression it produces on the informed user differs from the overall impression produced on such a user by any design which has been made available to the public:</w:t>
      </w:r>
    </w:p>
    <w:p w14:paraId="441BBB65" w14:textId="77777777" w:rsidR="00E759C0" w:rsidRPr="00E759C0" w:rsidRDefault="00E759C0" w:rsidP="00E759C0">
      <w:pPr>
        <w:spacing w:line="256" w:lineRule="auto"/>
        <w:rPr>
          <w:rFonts w:ascii="Calibri" w:eastAsia="Calibri" w:hAnsi="Calibri" w:cs="Times New Roman"/>
          <w:i/>
          <w:sz w:val="24"/>
          <w:szCs w:val="24"/>
          <w:lang w:val="en-US"/>
        </w:rPr>
      </w:pPr>
      <w:r w:rsidRPr="00E759C0">
        <w:rPr>
          <w:rFonts w:ascii="Calibri" w:eastAsia="Calibri" w:hAnsi="Calibri" w:cs="Times New Roman"/>
          <w:i/>
          <w:sz w:val="24"/>
          <w:szCs w:val="24"/>
          <w:lang w:val="en-US"/>
        </w:rPr>
        <w:t xml:space="preserve">(a) in the case of an unregistered Community design, before the date on which the design for which protection is claimed has first been made available to the </w:t>
      </w:r>
      <w:proofErr w:type="gramStart"/>
      <w:r w:rsidRPr="00E759C0">
        <w:rPr>
          <w:rFonts w:ascii="Calibri" w:eastAsia="Calibri" w:hAnsi="Calibri" w:cs="Times New Roman"/>
          <w:i/>
          <w:sz w:val="24"/>
          <w:szCs w:val="24"/>
          <w:lang w:val="en-US"/>
        </w:rPr>
        <w:t>public;</w:t>
      </w:r>
      <w:proofErr w:type="gramEnd"/>
    </w:p>
    <w:p w14:paraId="76F0E096" w14:textId="77777777" w:rsidR="00E759C0" w:rsidRPr="00E759C0" w:rsidRDefault="00E759C0" w:rsidP="00E759C0">
      <w:pPr>
        <w:spacing w:line="256" w:lineRule="auto"/>
        <w:rPr>
          <w:rFonts w:ascii="Calibri" w:eastAsia="Calibri" w:hAnsi="Calibri" w:cs="Times New Roman"/>
          <w:i/>
          <w:sz w:val="24"/>
          <w:szCs w:val="24"/>
          <w:lang w:val="en-US"/>
        </w:rPr>
      </w:pPr>
      <w:r w:rsidRPr="00E759C0">
        <w:rPr>
          <w:rFonts w:ascii="Calibri" w:eastAsia="Calibri" w:hAnsi="Calibri" w:cs="Times New Roman"/>
          <w:i/>
          <w:sz w:val="24"/>
          <w:szCs w:val="24"/>
          <w:lang w:val="en-US"/>
        </w:rPr>
        <w:lastRenderedPageBreak/>
        <w:t>(b) in the case of a registered Community design, before the date of filing the application for registration or, if a priority is claimed, the date of priority.</w:t>
      </w:r>
    </w:p>
    <w:p w14:paraId="11E4E4F6" w14:textId="77777777" w:rsidR="00E759C0" w:rsidRPr="00E759C0" w:rsidRDefault="00E759C0" w:rsidP="00E759C0">
      <w:pPr>
        <w:spacing w:line="256" w:lineRule="auto"/>
        <w:rPr>
          <w:rFonts w:ascii="Calibri" w:eastAsia="Calibri" w:hAnsi="Calibri" w:cs="Times New Roman"/>
          <w:i/>
          <w:sz w:val="24"/>
          <w:szCs w:val="24"/>
          <w:lang w:val="en-US"/>
        </w:rPr>
      </w:pPr>
      <w:r w:rsidRPr="00E759C0">
        <w:rPr>
          <w:rFonts w:ascii="Calibri" w:eastAsia="Calibri" w:hAnsi="Calibri" w:cs="Times New Roman"/>
          <w:i/>
          <w:sz w:val="24"/>
          <w:szCs w:val="24"/>
          <w:lang w:val="en-US"/>
        </w:rPr>
        <w:t xml:space="preserve">In assessing individual character, the degree of freedom of the designer in developing the design shall be taken into consideration. </w:t>
      </w:r>
    </w:p>
    <w:p w14:paraId="15307E9F" w14:textId="79AB9135" w:rsidR="00E759C0" w:rsidRPr="00E759C0" w:rsidRDefault="00E759C0" w:rsidP="00E759C0">
      <w:pPr>
        <w:spacing w:line="256" w:lineRule="auto"/>
        <w:rPr>
          <w:rFonts w:ascii="Calibri" w:eastAsia="Calibri" w:hAnsi="Calibri" w:cs="Times New Roman"/>
          <w:sz w:val="24"/>
          <w:szCs w:val="24"/>
          <w:lang w:val="en-US"/>
        </w:rPr>
      </w:pPr>
      <w:r w:rsidRPr="00E759C0">
        <w:rPr>
          <w:rFonts w:ascii="Calibri" w:eastAsia="Calibri" w:hAnsi="Calibri" w:cs="Times New Roman"/>
          <w:sz w:val="24"/>
          <w:szCs w:val="24"/>
          <w:lang w:val="en-US"/>
        </w:rPr>
        <w:t xml:space="preserve">Based on this provision, academic circles may allege that compared designs or models presenting no significant differences produce the same overall impression on the informed user, and therefore trained algorithms cannot normally provide a “new” appearance or shape in the sense of EU Law, since the greater the freedom of the designer in developing a design is, the less minor differences between the compared designs are sufficient to produce a different overall impression on the informed user.  Elements connected to commercial success of the product are not to be considered and the criteria related to a process of creating the design or model, or recognition that the product would have as well as the contribution of the design or model to the sector concerned, do not seem to be among those taken into account by EU Courts for the purposes of appreciation of the individual character of an industrial design. </w:t>
      </w:r>
    </w:p>
    <w:p w14:paraId="007657A8" w14:textId="5832F2A5" w:rsidR="00E759C0" w:rsidRPr="00E759C0" w:rsidRDefault="00E759C0" w:rsidP="00E759C0">
      <w:pPr>
        <w:spacing w:line="256" w:lineRule="auto"/>
        <w:rPr>
          <w:rFonts w:ascii="Calibri" w:eastAsia="Calibri" w:hAnsi="Calibri" w:cs="Times New Roman"/>
          <w:sz w:val="24"/>
          <w:szCs w:val="24"/>
          <w:lang w:val="en-US"/>
        </w:rPr>
      </w:pPr>
      <w:r w:rsidRPr="00E759C0">
        <w:rPr>
          <w:rFonts w:ascii="Calibri" w:eastAsia="Calibri" w:hAnsi="Calibri" w:cs="Times New Roman"/>
          <w:sz w:val="24"/>
          <w:szCs w:val="24"/>
          <w:lang w:val="en-US"/>
        </w:rPr>
        <w:t xml:space="preserve">This approach, rooted </w:t>
      </w:r>
      <w:r w:rsidR="00922B72">
        <w:rPr>
          <w:rFonts w:ascii="Calibri" w:eastAsia="Calibri" w:hAnsi="Calibri" w:cs="Times New Roman"/>
          <w:sz w:val="24"/>
          <w:szCs w:val="24"/>
          <w:lang w:val="en-US"/>
        </w:rPr>
        <w:t>in</w:t>
      </w:r>
      <w:r w:rsidR="00922B72" w:rsidRPr="00E759C0">
        <w:rPr>
          <w:rFonts w:ascii="Calibri" w:eastAsia="Calibri" w:hAnsi="Calibri" w:cs="Times New Roman"/>
          <w:sz w:val="24"/>
          <w:szCs w:val="24"/>
          <w:lang w:val="en-US"/>
        </w:rPr>
        <w:t xml:space="preserve"> </w:t>
      </w:r>
      <w:r w:rsidRPr="00E759C0">
        <w:rPr>
          <w:rFonts w:ascii="Calibri" w:eastAsia="Calibri" w:hAnsi="Calibri" w:cs="Times New Roman"/>
          <w:sz w:val="24"/>
          <w:szCs w:val="24"/>
          <w:lang w:val="en-US"/>
        </w:rPr>
        <w:t xml:space="preserve">the freedom of the designer creator, would confirm that an intellectual good could only be the product of the voluntary intellectual activity of the human being. Thus, for artificial intelligence, the autonomy of the machine could be limited by </w:t>
      </w:r>
      <w:proofErr w:type="gramStart"/>
      <w:r w:rsidRPr="00E759C0">
        <w:rPr>
          <w:rFonts w:ascii="Calibri" w:eastAsia="Calibri" w:hAnsi="Calibri" w:cs="Times New Roman"/>
          <w:sz w:val="24"/>
          <w:szCs w:val="24"/>
          <w:lang w:val="en-US"/>
        </w:rPr>
        <w:t>taking into account</w:t>
      </w:r>
      <w:proofErr w:type="gramEnd"/>
      <w:r w:rsidRPr="00E759C0">
        <w:rPr>
          <w:rFonts w:ascii="Calibri" w:eastAsia="Calibri" w:hAnsi="Calibri" w:cs="Times New Roman"/>
          <w:sz w:val="24"/>
          <w:szCs w:val="24"/>
          <w:lang w:val="en-US"/>
        </w:rPr>
        <w:t xml:space="preserve"> “machine training” work by the creator. The creator (or the creators, in case of “data mills”) intervenes in any case at least during the settings of the artificial intelligence machine/process and may also intervene during choices among the multiple designs proposals generated by artificial intelligence. Design law, which is not centered on the designer creator, but is centered on the creation, certainly opens the door to fully automated production. However, it does not detach it from the human designer creator. This means that the designer creator is necessarily to be considered in this case as the natural person who intellectually contributes to the creation of the appearance of the product. If the freedom of the designer creator must be appreciated, the appearance produced without any human intervention would hardly be appropriable by UCD/RCD law. Any alternative reading of this criterion in the EU seems excluded under current legislation and EU case law. It should be noted that such a legal approach, connected to designs law, would also comply well with current moral rights aspects</w:t>
      </w:r>
      <w:r w:rsidRPr="00E759C0">
        <w:rPr>
          <w:rFonts w:ascii="Calibri" w:eastAsia="Calibri" w:hAnsi="Calibri" w:cs="Times New Roman"/>
          <w:sz w:val="24"/>
          <w:szCs w:val="24"/>
          <w:vertAlign w:val="superscript"/>
          <w:lang w:val="en-US"/>
        </w:rPr>
        <w:endnoteReference w:id="1"/>
      </w:r>
      <w:r w:rsidRPr="00E759C0">
        <w:rPr>
          <w:rFonts w:ascii="Calibri" w:eastAsia="Calibri" w:hAnsi="Calibri" w:cs="Times New Roman"/>
          <w:sz w:val="24"/>
          <w:szCs w:val="24"/>
          <w:vertAlign w:val="superscript"/>
          <w:lang w:val="en-US"/>
        </w:rPr>
        <w:footnoteReference w:id="89"/>
      </w:r>
      <w:r w:rsidRPr="00E759C0">
        <w:rPr>
          <w:rFonts w:ascii="Calibri" w:eastAsia="Calibri" w:hAnsi="Calibri" w:cs="Times New Roman"/>
          <w:sz w:val="24"/>
          <w:szCs w:val="24"/>
          <w:lang w:val="en-US"/>
        </w:rPr>
        <w:t xml:space="preserve"> that may exist on fashion copyrighted creations under EU laws.</w:t>
      </w:r>
      <w:r w:rsidR="00CD4976">
        <w:rPr>
          <w:rStyle w:val="FootnoteReference"/>
          <w:rFonts w:ascii="Calibri" w:eastAsia="Calibri" w:hAnsi="Calibri" w:cs="Times New Roman"/>
          <w:sz w:val="24"/>
          <w:szCs w:val="24"/>
          <w:lang w:val="en-US"/>
        </w:rPr>
        <w:footnoteReference w:id="90"/>
      </w:r>
      <w:r w:rsidRPr="00E759C0">
        <w:rPr>
          <w:rFonts w:ascii="Calibri" w:eastAsia="Calibri" w:hAnsi="Calibri" w:cs="Times New Roman"/>
          <w:sz w:val="24"/>
          <w:szCs w:val="24"/>
          <w:lang w:val="en-US"/>
        </w:rPr>
        <w:t xml:space="preserve"> </w:t>
      </w:r>
    </w:p>
    <w:p w14:paraId="0D107192" w14:textId="77777777" w:rsidR="00E759C0" w:rsidRPr="00474FAB" w:rsidRDefault="00E759C0" w:rsidP="001627EE">
      <w:pPr>
        <w:pStyle w:val="ListParagraph"/>
        <w:ind w:left="1080"/>
        <w:jc w:val="both"/>
        <w:rPr>
          <w:rFonts w:cstheme="minorHAnsi"/>
          <w:sz w:val="24"/>
          <w:szCs w:val="24"/>
          <w:lang w:val="en-US"/>
        </w:rPr>
      </w:pPr>
    </w:p>
    <w:p w14:paraId="4B8B474F" w14:textId="77777777" w:rsidR="00E759C0" w:rsidRPr="00474FAB" w:rsidRDefault="00E759C0" w:rsidP="001627EE">
      <w:pPr>
        <w:pStyle w:val="ListParagraph"/>
        <w:ind w:left="1080"/>
        <w:jc w:val="both"/>
        <w:rPr>
          <w:rFonts w:cstheme="minorHAnsi"/>
          <w:sz w:val="24"/>
          <w:szCs w:val="24"/>
          <w:lang w:val="en-US"/>
        </w:rPr>
      </w:pPr>
    </w:p>
    <w:p w14:paraId="6D7566E7" w14:textId="064033FE" w:rsidR="001703F7" w:rsidRPr="00474FAB" w:rsidRDefault="001703F7" w:rsidP="001627EE">
      <w:pPr>
        <w:pStyle w:val="ListParagraph"/>
        <w:jc w:val="both"/>
        <w:rPr>
          <w:rFonts w:cstheme="minorHAnsi"/>
          <w:sz w:val="24"/>
          <w:szCs w:val="24"/>
          <w:lang w:val="en-US"/>
        </w:rPr>
      </w:pPr>
      <w:r w:rsidRPr="00474FAB">
        <w:rPr>
          <w:rFonts w:cstheme="minorHAnsi"/>
          <w:sz w:val="24"/>
          <w:szCs w:val="24"/>
          <w:lang w:val="en-US"/>
        </w:rPr>
        <w:t xml:space="preserve">2. 3D </w:t>
      </w:r>
      <w:r w:rsidR="00C47D19" w:rsidRPr="00474FAB">
        <w:rPr>
          <w:rFonts w:cstheme="minorHAnsi"/>
          <w:sz w:val="24"/>
          <w:szCs w:val="24"/>
          <w:lang w:val="en-US"/>
        </w:rPr>
        <w:t xml:space="preserve">and 4D </w:t>
      </w:r>
      <w:r w:rsidRPr="00474FAB">
        <w:rPr>
          <w:rFonts w:cstheme="minorHAnsi"/>
          <w:sz w:val="24"/>
          <w:szCs w:val="24"/>
          <w:lang w:val="en-US"/>
        </w:rPr>
        <w:t xml:space="preserve">Printing in Fashion and Design Law </w:t>
      </w:r>
    </w:p>
    <w:p w14:paraId="125F95BF" w14:textId="54D94ECB" w:rsidR="00E047E5" w:rsidRPr="00474FAB" w:rsidRDefault="00E047E5" w:rsidP="00E047E5">
      <w:pPr>
        <w:jc w:val="both"/>
        <w:rPr>
          <w:rFonts w:cstheme="minorHAnsi"/>
          <w:sz w:val="24"/>
          <w:szCs w:val="24"/>
          <w:lang w:val="en-US"/>
        </w:rPr>
      </w:pPr>
      <w:r w:rsidRPr="00474FAB">
        <w:rPr>
          <w:rFonts w:cstheme="minorHAnsi"/>
          <w:sz w:val="24"/>
          <w:szCs w:val="24"/>
          <w:lang w:val="en-US"/>
        </w:rPr>
        <w:t xml:space="preserve">Over the last decade, 3D printing has become established in the fashion and textile industry. It is used not only for decorative elements but also for shoes, garments, and even textiles, </w:t>
      </w:r>
      <w:r w:rsidRPr="00474FAB">
        <w:rPr>
          <w:rFonts w:cstheme="minorHAnsi"/>
          <w:sz w:val="24"/>
          <w:szCs w:val="24"/>
          <w:lang w:val="en-US"/>
        </w:rPr>
        <w:lastRenderedPageBreak/>
        <w:t>with the advantage of enhancing structures and functionalization.</w:t>
      </w:r>
      <w:r w:rsidR="00D4771B" w:rsidRPr="00474FAB">
        <w:rPr>
          <w:rStyle w:val="FootnoteReference"/>
          <w:rFonts w:cstheme="minorHAnsi"/>
          <w:sz w:val="24"/>
          <w:szCs w:val="24"/>
        </w:rPr>
        <w:t xml:space="preserve"> </w:t>
      </w:r>
      <w:r w:rsidR="00D4771B" w:rsidRPr="00474FAB">
        <w:rPr>
          <w:rStyle w:val="FootnoteReference"/>
          <w:rFonts w:cstheme="minorHAnsi"/>
          <w:sz w:val="24"/>
          <w:szCs w:val="24"/>
        </w:rPr>
        <w:footnoteReference w:id="91"/>
      </w:r>
      <w:r w:rsidR="00D4771B" w:rsidRPr="00474FAB">
        <w:rPr>
          <w:rFonts w:cstheme="minorHAnsi"/>
          <w:sz w:val="24"/>
          <w:szCs w:val="24"/>
        </w:rPr>
        <w:t xml:space="preserve"> </w:t>
      </w:r>
      <w:r w:rsidRPr="00474FAB">
        <w:rPr>
          <w:rFonts w:cstheme="minorHAnsi"/>
          <w:sz w:val="24"/>
          <w:szCs w:val="24"/>
          <w:lang w:val="en-US"/>
        </w:rPr>
        <w:t xml:space="preserve"> Consequently, a product manufactured by 3D combines the advantages of both technologies and materials, influencing the 'quality and durability of the final product.' </w:t>
      </w:r>
      <w:r w:rsidR="00D4771B" w:rsidRPr="00474FAB">
        <w:rPr>
          <w:rStyle w:val="FootnoteReference"/>
          <w:rFonts w:cstheme="minorHAnsi"/>
          <w:sz w:val="24"/>
          <w:szCs w:val="24"/>
          <w:lang w:val="en-US"/>
        </w:rPr>
        <w:footnoteReference w:id="92"/>
      </w:r>
    </w:p>
    <w:p w14:paraId="45864A27" w14:textId="1681D6A9" w:rsidR="00E047E5" w:rsidRPr="00474FAB" w:rsidRDefault="00E047E5" w:rsidP="00E047E5">
      <w:pPr>
        <w:jc w:val="both"/>
        <w:rPr>
          <w:rFonts w:cstheme="minorHAnsi"/>
          <w:sz w:val="24"/>
          <w:szCs w:val="24"/>
          <w:lang w:val="en-US"/>
        </w:rPr>
      </w:pPr>
      <w:r w:rsidRPr="00474FAB">
        <w:rPr>
          <w:rFonts w:cstheme="minorHAnsi"/>
          <w:sz w:val="24"/>
          <w:szCs w:val="24"/>
          <w:lang w:val="en-US"/>
        </w:rPr>
        <w:t xml:space="preserve">For instance, since 2008, Iris van </w:t>
      </w:r>
      <w:proofErr w:type="spellStart"/>
      <w:r w:rsidRPr="00474FAB">
        <w:rPr>
          <w:rFonts w:cstheme="minorHAnsi"/>
          <w:sz w:val="24"/>
          <w:szCs w:val="24"/>
          <w:lang w:val="en-US"/>
        </w:rPr>
        <w:t>Herpen</w:t>
      </w:r>
      <w:proofErr w:type="spellEnd"/>
      <w:r w:rsidRPr="00474FAB">
        <w:rPr>
          <w:rFonts w:cstheme="minorHAnsi"/>
          <w:sz w:val="24"/>
          <w:szCs w:val="24"/>
          <w:lang w:val="en-US"/>
        </w:rPr>
        <w:t xml:space="preserve"> has incorporated 3D technology into both her Haute Couture and women's ready-to-wear clothing designs.</w:t>
      </w:r>
      <w:r w:rsidR="00D4771B" w:rsidRPr="00474FAB">
        <w:rPr>
          <w:rStyle w:val="FootnoteReference"/>
          <w:rFonts w:cstheme="minorHAnsi"/>
          <w:sz w:val="24"/>
          <w:szCs w:val="24"/>
        </w:rPr>
        <w:t xml:space="preserve"> </w:t>
      </w:r>
      <w:r w:rsidRPr="00474FAB">
        <w:rPr>
          <w:rFonts w:cstheme="minorHAnsi"/>
          <w:sz w:val="24"/>
          <w:szCs w:val="24"/>
          <w:lang w:val="en-US"/>
        </w:rPr>
        <w:t xml:space="preserve">TIME Magazine </w:t>
      </w:r>
      <w:r w:rsidR="00BB2F2D" w:rsidRPr="00474FAB">
        <w:rPr>
          <w:rFonts w:cstheme="minorHAnsi"/>
          <w:sz w:val="24"/>
          <w:szCs w:val="24"/>
          <w:lang w:val="en-US"/>
        </w:rPr>
        <w:t>named van</w:t>
      </w:r>
      <w:r w:rsidRPr="00474FAB">
        <w:rPr>
          <w:rFonts w:cstheme="minorHAnsi"/>
          <w:sz w:val="24"/>
          <w:szCs w:val="24"/>
          <w:lang w:val="en-US"/>
        </w:rPr>
        <w:t xml:space="preserve"> </w:t>
      </w:r>
      <w:proofErr w:type="spellStart"/>
      <w:r w:rsidRPr="00474FAB">
        <w:rPr>
          <w:rFonts w:cstheme="minorHAnsi"/>
          <w:sz w:val="24"/>
          <w:szCs w:val="24"/>
          <w:lang w:val="en-US"/>
        </w:rPr>
        <w:t>Herpen's</w:t>
      </w:r>
      <w:proofErr w:type="spellEnd"/>
      <w:r w:rsidRPr="00474FAB">
        <w:rPr>
          <w:rFonts w:cstheme="minorHAnsi"/>
          <w:sz w:val="24"/>
          <w:szCs w:val="24"/>
          <w:lang w:val="en-US"/>
        </w:rPr>
        <w:t xml:space="preserve"> 3D printed dresses one of the 50 Best Inventions of 2011, and she continues to push a complex connection between nature, architecture, science, and more crucially, the 'traditional craftsmanship and future-facing technology.' </w:t>
      </w:r>
      <w:r w:rsidR="00597E18" w:rsidRPr="00474FAB">
        <w:rPr>
          <w:rStyle w:val="FootnoteReference"/>
          <w:rFonts w:cstheme="minorHAnsi"/>
          <w:sz w:val="24"/>
          <w:szCs w:val="24"/>
        </w:rPr>
        <w:footnoteReference w:id="93"/>
      </w:r>
      <w:r w:rsidR="00597E18" w:rsidRPr="00474FAB">
        <w:rPr>
          <w:rFonts w:cstheme="minorHAnsi"/>
          <w:sz w:val="24"/>
          <w:szCs w:val="24"/>
        </w:rPr>
        <w:t xml:space="preserve"> </w:t>
      </w:r>
      <w:r w:rsidRPr="00474FAB">
        <w:rPr>
          <w:rFonts w:cstheme="minorHAnsi"/>
          <w:sz w:val="24"/>
          <w:szCs w:val="24"/>
          <w:lang w:val="en-US"/>
        </w:rPr>
        <w:t xml:space="preserve">In September 2023, </w:t>
      </w:r>
      <w:proofErr w:type="spellStart"/>
      <w:r w:rsidRPr="00474FAB">
        <w:rPr>
          <w:rFonts w:cstheme="minorHAnsi"/>
          <w:sz w:val="24"/>
          <w:szCs w:val="24"/>
          <w:lang w:val="en-US"/>
        </w:rPr>
        <w:t>Coperni</w:t>
      </w:r>
      <w:proofErr w:type="spellEnd"/>
      <w:r w:rsidRPr="00474FAB">
        <w:rPr>
          <w:rFonts w:cstheme="minorHAnsi"/>
          <w:sz w:val="24"/>
          <w:szCs w:val="24"/>
          <w:lang w:val="en-US"/>
        </w:rPr>
        <w:t xml:space="preserve"> debuted a 3D-printed CD-player bag as part of the Spring 2024 collection, which has already caused a stir.</w:t>
      </w:r>
      <w:r w:rsidR="009A2306" w:rsidRPr="00474FAB">
        <w:rPr>
          <w:rStyle w:val="FootnoteReference"/>
          <w:rFonts w:cstheme="minorHAnsi"/>
          <w:sz w:val="24"/>
          <w:szCs w:val="24"/>
        </w:rPr>
        <w:footnoteReference w:id="94"/>
      </w:r>
    </w:p>
    <w:p w14:paraId="2A610ADD" w14:textId="6F9EDCA6" w:rsidR="00E047E5" w:rsidRPr="00474FAB" w:rsidRDefault="00E047E5" w:rsidP="00E047E5">
      <w:pPr>
        <w:jc w:val="both"/>
        <w:rPr>
          <w:rFonts w:cstheme="minorHAnsi"/>
          <w:sz w:val="24"/>
          <w:szCs w:val="24"/>
          <w:lang w:val="en-US"/>
        </w:rPr>
      </w:pPr>
      <w:r w:rsidRPr="00474FAB">
        <w:rPr>
          <w:rFonts w:cstheme="minorHAnsi"/>
          <w:sz w:val="24"/>
          <w:szCs w:val="24"/>
          <w:lang w:val="en-US"/>
        </w:rPr>
        <w:t>Aside from this, many scholars see the potential of 3D printing, be it for reducing production time, as well as costs related to inventory, warehousing, packaging, and transportation,</w:t>
      </w:r>
      <w:r w:rsidR="00E956D6" w:rsidRPr="00474FAB">
        <w:rPr>
          <w:rStyle w:val="FootnoteReference"/>
          <w:rFonts w:cstheme="minorHAnsi"/>
          <w:sz w:val="24"/>
          <w:szCs w:val="24"/>
        </w:rPr>
        <w:t xml:space="preserve"> </w:t>
      </w:r>
      <w:r w:rsidR="00E956D6" w:rsidRPr="00474FAB">
        <w:rPr>
          <w:rStyle w:val="FootnoteReference"/>
          <w:rFonts w:cstheme="minorHAnsi"/>
          <w:sz w:val="24"/>
          <w:szCs w:val="24"/>
        </w:rPr>
        <w:footnoteReference w:id="95"/>
      </w:r>
      <w:r w:rsidRPr="00474FAB">
        <w:rPr>
          <w:rFonts w:cstheme="minorHAnsi"/>
          <w:sz w:val="24"/>
          <w:szCs w:val="24"/>
          <w:lang w:val="en-US"/>
        </w:rPr>
        <w:t xml:space="preserve"> and </w:t>
      </w:r>
      <w:r w:rsidR="000F38C9" w:rsidRPr="00474FAB">
        <w:rPr>
          <w:rFonts w:cstheme="minorHAnsi"/>
          <w:sz w:val="24"/>
          <w:szCs w:val="24"/>
          <w:lang w:val="en-US"/>
        </w:rPr>
        <w:t>finally</w:t>
      </w:r>
      <w:r w:rsidRPr="00474FAB">
        <w:rPr>
          <w:rFonts w:cstheme="minorHAnsi"/>
          <w:sz w:val="24"/>
          <w:szCs w:val="24"/>
          <w:lang w:val="en-US"/>
        </w:rPr>
        <w:t xml:space="preserve">, for sustainable fashion and thus, minimizing waste. </w:t>
      </w:r>
      <w:r w:rsidR="00E956D6" w:rsidRPr="00474FAB">
        <w:rPr>
          <w:rStyle w:val="FootnoteReference"/>
          <w:rFonts w:cstheme="minorHAnsi"/>
          <w:sz w:val="24"/>
          <w:szCs w:val="24"/>
        </w:rPr>
        <w:footnoteReference w:id="96"/>
      </w:r>
      <w:r w:rsidR="00E956D6" w:rsidRPr="00474FAB">
        <w:rPr>
          <w:rFonts w:cstheme="minorHAnsi"/>
          <w:sz w:val="24"/>
          <w:szCs w:val="24"/>
        </w:rPr>
        <w:t xml:space="preserve"> </w:t>
      </w:r>
      <w:r w:rsidRPr="00474FAB">
        <w:rPr>
          <w:rFonts w:cstheme="minorHAnsi"/>
          <w:sz w:val="24"/>
          <w:szCs w:val="24"/>
          <w:lang w:val="en-US"/>
        </w:rPr>
        <w:t xml:space="preserve">Currently, 3D fashion is using biodegradable materials and brands like Nike, Adidas, and New Balance are using recycled plastics from the oceans. </w:t>
      </w:r>
      <w:r w:rsidR="00E956D6" w:rsidRPr="00474FAB">
        <w:rPr>
          <w:rStyle w:val="FootnoteReference"/>
          <w:rFonts w:cstheme="minorHAnsi"/>
          <w:sz w:val="24"/>
          <w:szCs w:val="24"/>
        </w:rPr>
        <w:footnoteReference w:id="97"/>
      </w:r>
    </w:p>
    <w:p w14:paraId="211B070E" w14:textId="017EC8AD" w:rsidR="00E047E5" w:rsidRPr="00474FAB" w:rsidRDefault="00E047E5" w:rsidP="00E047E5">
      <w:pPr>
        <w:jc w:val="both"/>
        <w:rPr>
          <w:rFonts w:cstheme="minorHAnsi"/>
          <w:sz w:val="24"/>
          <w:szCs w:val="24"/>
          <w:lang w:val="en-US"/>
        </w:rPr>
      </w:pPr>
      <w:r w:rsidRPr="00474FAB">
        <w:rPr>
          <w:rFonts w:cstheme="minorHAnsi"/>
          <w:sz w:val="24"/>
          <w:szCs w:val="24"/>
          <w:lang w:val="en-US"/>
        </w:rPr>
        <w:t>One of the most recent technological advancements is 4D printing, which is used in wearables and smart clothes. Rocha notes that the difference between 3D and 4D is the use of 'intelligent materials' which are programmed to adjust to the changing needs of the user, e.g., hydrogel, polymers with memory shape (PMF), and liquid crystal elastomers (LCE).</w:t>
      </w:r>
      <w:r w:rsidR="0000224E" w:rsidRPr="00474FAB">
        <w:rPr>
          <w:rStyle w:val="FootnoteReference"/>
          <w:rFonts w:cstheme="minorHAnsi"/>
          <w:sz w:val="24"/>
          <w:szCs w:val="24"/>
        </w:rPr>
        <w:t xml:space="preserve"> </w:t>
      </w:r>
      <w:r w:rsidR="0000224E" w:rsidRPr="00474FAB">
        <w:rPr>
          <w:rStyle w:val="FootnoteReference"/>
          <w:rFonts w:cstheme="minorHAnsi"/>
          <w:sz w:val="24"/>
          <w:szCs w:val="24"/>
        </w:rPr>
        <w:footnoteReference w:id="98"/>
      </w:r>
      <w:r w:rsidR="0000224E" w:rsidRPr="00474FAB">
        <w:rPr>
          <w:rFonts w:cstheme="minorHAnsi"/>
          <w:sz w:val="24"/>
          <w:szCs w:val="24"/>
        </w:rPr>
        <w:t xml:space="preserve"> </w:t>
      </w:r>
      <w:r w:rsidRPr="00474FAB">
        <w:rPr>
          <w:rFonts w:cstheme="minorHAnsi"/>
          <w:sz w:val="24"/>
          <w:szCs w:val="24"/>
          <w:lang w:val="en-US"/>
        </w:rPr>
        <w:t xml:space="preserve"> In a world where garments and shoes adapt to users and change with movement and temperature changes, among others, there is much to discuss as such technological advances raise concerns in the fashion world, such as personal data protection and counterfeiting and eroding the authenticity of garments.</w:t>
      </w:r>
      <w:r w:rsidR="00EF28F4" w:rsidRPr="00474FAB">
        <w:rPr>
          <w:rStyle w:val="FootnoteReference"/>
          <w:rFonts w:cstheme="minorHAnsi"/>
          <w:sz w:val="24"/>
          <w:szCs w:val="24"/>
          <w:lang w:val="en-US"/>
        </w:rPr>
        <w:t xml:space="preserve"> </w:t>
      </w:r>
      <w:r w:rsidR="00EF28F4" w:rsidRPr="00474FAB">
        <w:rPr>
          <w:rStyle w:val="FootnoteReference"/>
          <w:rFonts w:cstheme="minorHAnsi"/>
          <w:sz w:val="24"/>
          <w:szCs w:val="24"/>
          <w:lang w:val="en-US"/>
        </w:rPr>
        <w:footnoteReference w:id="99"/>
      </w:r>
      <w:r w:rsidR="00EF28F4" w:rsidRPr="00474FAB">
        <w:rPr>
          <w:rFonts w:cstheme="minorHAnsi"/>
          <w:sz w:val="24"/>
          <w:szCs w:val="24"/>
          <w:lang w:val="en-US"/>
        </w:rPr>
        <w:t xml:space="preserve"> </w:t>
      </w:r>
      <w:r w:rsidRPr="00474FAB">
        <w:rPr>
          <w:rFonts w:cstheme="minorHAnsi"/>
          <w:sz w:val="24"/>
          <w:szCs w:val="24"/>
          <w:lang w:val="en-US"/>
        </w:rPr>
        <w:t xml:space="preserve"> The latter prompts the relevance of protecting designs in the fashion industry.</w:t>
      </w:r>
      <w:r w:rsidR="00EF28F4" w:rsidRPr="00474FAB">
        <w:rPr>
          <w:rStyle w:val="FootnoteReference"/>
          <w:rFonts w:cstheme="minorHAnsi"/>
          <w:sz w:val="24"/>
          <w:szCs w:val="24"/>
          <w:lang w:val="en-US"/>
        </w:rPr>
        <w:t xml:space="preserve"> </w:t>
      </w:r>
      <w:r w:rsidR="00EF28F4" w:rsidRPr="00474FAB">
        <w:rPr>
          <w:rStyle w:val="FootnoteReference"/>
          <w:rFonts w:cstheme="minorHAnsi"/>
          <w:sz w:val="24"/>
          <w:szCs w:val="24"/>
          <w:lang w:val="en-US"/>
        </w:rPr>
        <w:footnoteReference w:id="100"/>
      </w:r>
      <w:r w:rsidRPr="00474FAB">
        <w:rPr>
          <w:rFonts w:cstheme="minorHAnsi"/>
          <w:sz w:val="24"/>
          <w:szCs w:val="24"/>
          <w:lang w:val="en-US"/>
        </w:rPr>
        <w:t xml:space="preserve"> Rocha writes about the importance of respecting </w:t>
      </w:r>
      <w:r w:rsidRPr="00474FAB">
        <w:rPr>
          <w:rFonts w:cstheme="minorHAnsi"/>
          <w:sz w:val="24"/>
          <w:szCs w:val="24"/>
          <w:lang w:val="en-US"/>
        </w:rPr>
        <w:lastRenderedPageBreak/>
        <w:t>intellectual property rights but also observes the matter of enforcement 'when the CAD files and its online sharing and 3D printing are done for strictly private uses.'</w:t>
      </w:r>
      <w:r w:rsidR="00CE73AA" w:rsidRPr="00474FAB">
        <w:rPr>
          <w:rStyle w:val="FootnoteReference"/>
          <w:rFonts w:cstheme="minorHAnsi"/>
          <w:sz w:val="24"/>
          <w:szCs w:val="24"/>
          <w:lang w:val="en-US"/>
        </w:rPr>
        <w:footnoteReference w:id="101"/>
      </w:r>
    </w:p>
    <w:p w14:paraId="0110DDEE" w14:textId="77777777" w:rsidR="005E799A" w:rsidRPr="00474FAB" w:rsidRDefault="005E799A" w:rsidP="001627EE">
      <w:pPr>
        <w:pStyle w:val="ListParagraph"/>
        <w:jc w:val="both"/>
        <w:rPr>
          <w:rFonts w:cstheme="minorHAnsi"/>
          <w:sz w:val="24"/>
          <w:szCs w:val="24"/>
          <w:lang w:val="en-US"/>
        </w:rPr>
      </w:pPr>
    </w:p>
    <w:p w14:paraId="4BF9969E" w14:textId="2BBB4EBD" w:rsidR="001703F7" w:rsidRPr="00474FAB" w:rsidRDefault="001703F7" w:rsidP="001627EE">
      <w:pPr>
        <w:pStyle w:val="ListParagraph"/>
        <w:jc w:val="both"/>
        <w:rPr>
          <w:rFonts w:cstheme="minorHAnsi"/>
          <w:sz w:val="24"/>
          <w:szCs w:val="24"/>
          <w:lang w:val="en-US"/>
        </w:rPr>
      </w:pPr>
      <w:r w:rsidRPr="00474FAB">
        <w:rPr>
          <w:rFonts w:cstheme="minorHAnsi"/>
          <w:sz w:val="24"/>
          <w:szCs w:val="24"/>
          <w:lang w:val="en-US"/>
        </w:rPr>
        <w:t xml:space="preserve">3. Fashion and Traditional Knowledge </w:t>
      </w:r>
    </w:p>
    <w:p w14:paraId="35486353" w14:textId="53F3A7C0" w:rsidR="001472C3" w:rsidRPr="00474FAB" w:rsidRDefault="001472C3" w:rsidP="001472C3">
      <w:pPr>
        <w:jc w:val="both"/>
        <w:rPr>
          <w:rFonts w:cstheme="minorHAnsi"/>
          <w:sz w:val="24"/>
          <w:szCs w:val="24"/>
        </w:rPr>
      </w:pPr>
      <w:r w:rsidRPr="00474FAB">
        <w:rPr>
          <w:rFonts w:cstheme="minorHAnsi"/>
          <w:sz w:val="24"/>
          <w:szCs w:val="24"/>
        </w:rPr>
        <w:t>The intersection of fashion with Traditional Knowledge (TK) and Traditional Cultural Expressions (TCEs) within the realm of design law involves considerations that extend beyond the umbrella of intellectual property due to conflicting ideologies.</w:t>
      </w:r>
      <w:r w:rsidR="000E6740" w:rsidRPr="00474FAB">
        <w:rPr>
          <w:rStyle w:val="FootnoteReference"/>
          <w:rFonts w:cstheme="minorHAnsi"/>
          <w:sz w:val="24"/>
          <w:szCs w:val="24"/>
          <w:lang w:val="en-US"/>
        </w:rPr>
        <w:t xml:space="preserve"> </w:t>
      </w:r>
      <w:r w:rsidR="000E6740" w:rsidRPr="00474FAB">
        <w:rPr>
          <w:rStyle w:val="FootnoteReference"/>
          <w:rFonts w:cstheme="minorHAnsi"/>
          <w:sz w:val="24"/>
          <w:szCs w:val="24"/>
          <w:lang w:val="en-US"/>
        </w:rPr>
        <w:footnoteReference w:id="102"/>
      </w:r>
      <w:r w:rsidR="000E6740" w:rsidRPr="00474FAB">
        <w:rPr>
          <w:rFonts w:cstheme="minorHAnsi"/>
          <w:sz w:val="24"/>
          <w:szCs w:val="24"/>
          <w:lang w:val="en-US"/>
        </w:rPr>
        <w:t xml:space="preserve"> </w:t>
      </w:r>
      <w:r w:rsidRPr="00474FAB">
        <w:rPr>
          <w:rFonts w:cstheme="minorHAnsi"/>
          <w:sz w:val="24"/>
          <w:szCs w:val="24"/>
        </w:rPr>
        <w:t xml:space="preserve"> This is because TK and TCEs involve designs, motifs, and patterns which are often deeply rooted in the heritage, identity, and in some instances, religious beliefs of specific communities. While there are various legal mechanisms for protecting designs, addressing the cultural and ethical dimensions of incorporating traditional elements in fashion is equally important. A major concern is to distinguish between what is inspiration and what is appropriation. Generally, in fashion, inspiration is allowed</w:t>
      </w:r>
      <w:r w:rsidR="000F15BF" w:rsidRPr="00474FAB">
        <w:rPr>
          <w:rStyle w:val="FootnoteReference"/>
          <w:rFonts w:cstheme="minorHAnsi"/>
          <w:sz w:val="24"/>
          <w:szCs w:val="24"/>
          <w:lang w:val="en-US"/>
        </w:rPr>
        <w:footnoteReference w:id="103"/>
      </w:r>
      <w:r w:rsidR="000F15BF" w:rsidRPr="00474FAB">
        <w:rPr>
          <w:rFonts w:cstheme="minorHAnsi"/>
          <w:sz w:val="24"/>
          <w:szCs w:val="24"/>
          <w:lang w:val="en-US"/>
        </w:rPr>
        <w:t xml:space="preserve"> </w:t>
      </w:r>
      <w:r w:rsidRPr="00474FAB">
        <w:rPr>
          <w:rFonts w:cstheme="minorHAnsi"/>
          <w:sz w:val="24"/>
          <w:szCs w:val="24"/>
        </w:rPr>
        <w:t xml:space="preserve"> as designers regularly look for inspiration from earlier styles, artworks, travels, or nature.</w:t>
      </w:r>
      <w:r w:rsidR="000F15BF" w:rsidRPr="00474FAB">
        <w:rPr>
          <w:rStyle w:val="FootnoteReference"/>
          <w:rFonts w:cstheme="minorHAnsi"/>
          <w:sz w:val="24"/>
          <w:szCs w:val="24"/>
          <w:lang w:val="en-US"/>
        </w:rPr>
        <w:t xml:space="preserve"> </w:t>
      </w:r>
      <w:r w:rsidR="000F15BF" w:rsidRPr="00474FAB">
        <w:rPr>
          <w:rStyle w:val="FootnoteReference"/>
          <w:rFonts w:cstheme="minorHAnsi"/>
          <w:sz w:val="24"/>
          <w:szCs w:val="24"/>
          <w:lang w:val="en-US"/>
        </w:rPr>
        <w:footnoteReference w:id="104"/>
      </w:r>
    </w:p>
    <w:p w14:paraId="3517365B" w14:textId="55D01C9E" w:rsidR="001472C3" w:rsidRPr="00474FAB" w:rsidRDefault="001472C3" w:rsidP="001472C3">
      <w:pPr>
        <w:jc w:val="both"/>
        <w:rPr>
          <w:rFonts w:cstheme="minorHAnsi"/>
          <w:sz w:val="24"/>
          <w:szCs w:val="24"/>
        </w:rPr>
      </w:pPr>
      <w:r w:rsidRPr="00474FAB">
        <w:rPr>
          <w:rFonts w:cstheme="minorHAnsi"/>
          <w:sz w:val="24"/>
          <w:szCs w:val="24"/>
        </w:rPr>
        <w:t>Cultural appropriation in fashion has recently received much attention in the media. This could be due to globalization or the growth of the internet (and consequently sharing without boundaries), or both. However, Pozzo asserts that this phenomenon is not new.</w:t>
      </w:r>
      <w:r w:rsidR="000F15BF" w:rsidRPr="00474FAB">
        <w:rPr>
          <w:rStyle w:val="FootnoteReference"/>
          <w:rFonts w:cstheme="minorHAnsi"/>
          <w:sz w:val="24"/>
          <w:szCs w:val="24"/>
          <w:lang w:val="en-US"/>
        </w:rPr>
        <w:t xml:space="preserve"> </w:t>
      </w:r>
      <w:r w:rsidR="000F15BF" w:rsidRPr="00474FAB">
        <w:rPr>
          <w:rStyle w:val="FootnoteReference"/>
          <w:rFonts w:cstheme="minorHAnsi"/>
          <w:sz w:val="24"/>
          <w:szCs w:val="24"/>
          <w:lang w:val="en-US"/>
        </w:rPr>
        <w:footnoteReference w:id="105"/>
      </w:r>
      <w:r w:rsidR="000F15BF" w:rsidRPr="00474FAB">
        <w:rPr>
          <w:rFonts w:cstheme="minorHAnsi"/>
          <w:sz w:val="24"/>
          <w:szCs w:val="24"/>
          <w:lang w:val="en-US"/>
        </w:rPr>
        <w:t xml:space="preserve"> </w:t>
      </w:r>
      <w:r w:rsidRPr="00474FAB">
        <w:rPr>
          <w:rFonts w:cstheme="minorHAnsi"/>
          <w:sz w:val="24"/>
          <w:szCs w:val="24"/>
        </w:rPr>
        <w:t xml:space="preserve"> She recalls that the world of textiles, which began to travel since ancient times, brought with it styles and shapes. Providing examples, she mentions how inspired by the Orient, Poiret (a French couturier) set aside the women’s corset for comfort, creating harem trousers and tunics during the mid-20th century. Similarly, in Japan, the kimonos changed to </w:t>
      </w:r>
      <w:r w:rsidR="00294F1A" w:rsidRPr="00474FAB">
        <w:rPr>
          <w:rFonts w:cstheme="minorHAnsi"/>
          <w:sz w:val="24"/>
          <w:szCs w:val="24"/>
        </w:rPr>
        <w:t>colourful</w:t>
      </w:r>
      <w:r w:rsidRPr="00474FAB">
        <w:rPr>
          <w:rFonts w:cstheme="minorHAnsi"/>
          <w:sz w:val="24"/>
          <w:szCs w:val="24"/>
        </w:rPr>
        <w:t xml:space="preserve"> designs influenced by European </w:t>
      </w:r>
      <w:r w:rsidR="00294F1A" w:rsidRPr="00474FAB">
        <w:rPr>
          <w:rFonts w:cstheme="minorHAnsi"/>
          <w:sz w:val="24"/>
          <w:szCs w:val="24"/>
        </w:rPr>
        <w:t>a</w:t>
      </w:r>
      <w:r w:rsidRPr="00474FAB">
        <w:rPr>
          <w:rFonts w:cstheme="minorHAnsi"/>
          <w:sz w:val="24"/>
          <w:szCs w:val="24"/>
        </w:rPr>
        <w:t xml:space="preserve">rt and </w:t>
      </w:r>
      <w:r w:rsidR="00294F1A" w:rsidRPr="00474FAB">
        <w:rPr>
          <w:rFonts w:cstheme="minorHAnsi"/>
          <w:sz w:val="24"/>
          <w:szCs w:val="24"/>
        </w:rPr>
        <w:t>d</w:t>
      </w:r>
      <w:r w:rsidRPr="00474FAB">
        <w:rPr>
          <w:rFonts w:cstheme="minorHAnsi"/>
          <w:sz w:val="24"/>
          <w:szCs w:val="24"/>
        </w:rPr>
        <w:t>esign.</w:t>
      </w:r>
      <w:r w:rsidR="00294F1A" w:rsidRPr="00474FAB">
        <w:rPr>
          <w:rStyle w:val="FootnoteReference"/>
          <w:rFonts w:cstheme="minorHAnsi"/>
          <w:sz w:val="24"/>
          <w:szCs w:val="24"/>
          <w:lang w:val="en-US"/>
        </w:rPr>
        <w:footnoteReference w:id="106"/>
      </w:r>
      <w:r w:rsidR="00D17DF2" w:rsidRPr="00474FAB">
        <w:rPr>
          <w:rFonts w:cstheme="minorHAnsi"/>
          <w:sz w:val="24"/>
          <w:szCs w:val="24"/>
        </w:rPr>
        <w:t xml:space="preserve"> </w:t>
      </w:r>
      <w:r w:rsidRPr="00474FAB">
        <w:rPr>
          <w:rFonts w:cstheme="minorHAnsi"/>
          <w:sz w:val="24"/>
          <w:szCs w:val="24"/>
        </w:rPr>
        <w:t>Therefore, taking inspiration is not a new phenomenon in the fashion market and thus, using textiles, images, and patterns from other cultures have been seen as ‘transcultural creativity’.</w:t>
      </w:r>
      <w:r w:rsidR="00294F1A" w:rsidRPr="00474FAB">
        <w:rPr>
          <w:rStyle w:val="FootnoteReference"/>
          <w:rFonts w:cstheme="minorHAnsi"/>
          <w:sz w:val="24"/>
          <w:szCs w:val="24"/>
          <w:lang w:val="en-US"/>
        </w:rPr>
        <w:t xml:space="preserve"> </w:t>
      </w:r>
      <w:r w:rsidR="00294F1A" w:rsidRPr="00474FAB">
        <w:rPr>
          <w:rStyle w:val="FootnoteReference"/>
          <w:rFonts w:cstheme="minorHAnsi"/>
          <w:sz w:val="24"/>
          <w:szCs w:val="24"/>
          <w:lang w:val="en-US"/>
        </w:rPr>
        <w:footnoteReference w:id="107"/>
      </w:r>
    </w:p>
    <w:p w14:paraId="7114FF09" w14:textId="5F7E3357" w:rsidR="006D6D35" w:rsidRPr="00474FAB" w:rsidRDefault="006D6D35" w:rsidP="006D6D35">
      <w:pPr>
        <w:jc w:val="both"/>
        <w:rPr>
          <w:rFonts w:cstheme="minorHAnsi"/>
          <w:sz w:val="24"/>
          <w:szCs w:val="24"/>
          <w:lang w:val="en-US"/>
        </w:rPr>
      </w:pPr>
      <w:r w:rsidRPr="00474FAB">
        <w:rPr>
          <w:rFonts w:cstheme="minorHAnsi"/>
          <w:sz w:val="24"/>
          <w:szCs w:val="24"/>
          <w:lang w:val="en-US"/>
        </w:rPr>
        <w:t>The intersection of fashion with Traditional Knowledge (TK) and Traditional Cultural Expressions (TCEs) can be a delicate balance between appreciation of cultural diversity and inappropriate use of cultural and religious symbols. For instance, Yves Saint Laurent's Spring-Summer 1967 collection dedicated to Africa and Dior's Fall-Winter 1988-89 collection showing Indian influence are seen as cultural appreciation. However, Lisa Blue’s swimsuit depicting Hindu goddess Lakshmi and Karlie Kloss's native American style headdress during the 2012 Victoria’s Secret fashion show were viewed as degrading cultural or religious items.</w:t>
      </w:r>
      <w:r w:rsidR="0011194A" w:rsidRPr="00474FAB">
        <w:rPr>
          <w:rStyle w:val="FootnoteReference"/>
          <w:rFonts w:cstheme="minorHAnsi"/>
          <w:sz w:val="24"/>
          <w:szCs w:val="24"/>
          <w:lang w:val="en-US"/>
        </w:rPr>
        <w:t xml:space="preserve"> </w:t>
      </w:r>
      <w:r w:rsidR="0011194A" w:rsidRPr="00474FAB">
        <w:rPr>
          <w:rStyle w:val="FootnoteReference"/>
          <w:rFonts w:cstheme="minorHAnsi"/>
          <w:sz w:val="24"/>
          <w:szCs w:val="24"/>
          <w:lang w:val="en-US"/>
        </w:rPr>
        <w:footnoteReference w:id="108"/>
      </w:r>
    </w:p>
    <w:p w14:paraId="5A3DEA62" w14:textId="1792D3AE" w:rsidR="006D6D35" w:rsidRPr="00474FAB" w:rsidRDefault="006D6D35" w:rsidP="006D6D35">
      <w:pPr>
        <w:jc w:val="both"/>
        <w:rPr>
          <w:rFonts w:cstheme="minorHAnsi"/>
          <w:sz w:val="24"/>
          <w:szCs w:val="24"/>
          <w:lang w:val="en-US"/>
        </w:rPr>
      </w:pPr>
      <w:r w:rsidRPr="00474FAB">
        <w:rPr>
          <w:rFonts w:cstheme="minorHAnsi"/>
          <w:sz w:val="24"/>
          <w:szCs w:val="24"/>
          <w:lang w:val="en-US"/>
        </w:rPr>
        <w:lastRenderedPageBreak/>
        <w:t>Misappropriation of TK occurs when elements of a particular culture are used by individuals outside of that culture without consent and understanding. This extends beyond moral and economic rights, as the use of designs can become offensive to the culture of the people involved in the creation of such designs.</w:t>
      </w:r>
      <w:r w:rsidR="0040163C" w:rsidRPr="00474FAB">
        <w:rPr>
          <w:rStyle w:val="FootnoteReference"/>
          <w:rFonts w:cstheme="minorHAnsi"/>
          <w:sz w:val="24"/>
          <w:szCs w:val="24"/>
          <w:lang w:val="en-US"/>
        </w:rPr>
        <w:t xml:space="preserve"> </w:t>
      </w:r>
      <w:r w:rsidR="0040163C" w:rsidRPr="00474FAB">
        <w:rPr>
          <w:rStyle w:val="FootnoteReference"/>
          <w:rFonts w:cstheme="minorHAnsi"/>
          <w:sz w:val="24"/>
          <w:szCs w:val="24"/>
          <w:lang w:val="en-US"/>
        </w:rPr>
        <w:footnoteReference w:id="109"/>
      </w:r>
      <w:r w:rsidR="0040163C" w:rsidRPr="00474FAB">
        <w:rPr>
          <w:rFonts w:cstheme="minorHAnsi"/>
          <w:sz w:val="24"/>
          <w:szCs w:val="24"/>
          <w:lang w:val="en-US"/>
        </w:rPr>
        <w:t xml:space="preserve"> </w:t>
      </w:r>
      <w:r w:rsidRPr="00474FAB">
        <w:rPr>
          <w:rFonts w:cstheme="minorHAnsi"/>
          <w:sz w:val="24"/>
          <w:szCs w:val="24"/>
          <w:lang w:val="en-US"/>
        </w:rPr>
        <w:t xml:space="preserve"> Examples include accusations against Williamson for copying traditional Ethiopian pattern dresses during the London Fashion Week 2007,</w:t>
      </w:r>
      <w:r w:rsidR="008B6287" w:rsidRPr="00474FAB">
        <w:rPr>
          <w:rStyle w:val="FootnoteReference"/>
          <w:rFonts w:cstheme="minorHAnsi"/>
          <w:sz w:val="24"/>
          <w:szCs w:val="24"/>
          <w:lang w:val="en-US"/>
        </w:rPr>
        <w:t xml:space="preserve"> </w:t>
      </w:r>
      <w:r w:rsidR="008B6287" w:rsidRPr="00474FAB">
        <w:rPr>
          <w:rStyle w:val="FootnoteReference"/>
          <w:rFonts w:cstheme="minorHAnsi"/>
          <w:sz w:val="24"/>
          <w:szCs w:val="24"/>
          <w:lang w:val="en-US"/>
        </w:rPr>
        <w:footnoteReference w:id="110"/>
      </w:r>
      <w:r w:rsidRPr="00474FAB">
        <w:rPr>
          <w:rFonts w:cstheme="minorHAnsi"/>
          <w:sz w:val="24"/>
          <w:szCs w:val="24"/>
          <w:lang w:val="en-US"/>
        </w:rPr>
        <w:t xml:space="preserve"> Nike's design of shoes based on the traditional 'mola' patterns of the Guna people,</w:t>
      </w:r>
      <w:r w:rsidR="008B6287" w:rsidRPr="00474FAB">
        <w:rPr>
          <w:rStyle w:val="FootnoteReference"/>
          <w:rFonts w:cstheme="minorHAnsi"/>
          <w:sz w:val="24"/>
          <w:szCs w:val="24"/>
        </w:rPr>
        <w:t xml:space="preserve"> </w:t>
      </w:r>
      <w:r w:rsidR="008B6287" w:rsidRPr="00474FAB">
        <w:rPr>
          <w:rStyle w:val="FootnoteReference"/>
          <w:rFonts w:cstheme="minorHAnsi"/>
          <w:sz w:val="24"/>
          <w:szCs w:val="24"/>
        </w:rPr>
        <w:footnoteReference w:id="111"/>
      </w:r>
      <w:r w:rsidRPr="00474FAB">
        <w:rPr>
          <w:rFonts w:cstheme="minorHAnsi"/>
          <w:sz w:val="24"/>
          <w:szCs w:val="24"/>
          <w:lang w:val="en-US"/>
        </w:rPr>
        <w:t xml:space="preserve"> and SHEIN's launch of a piece identical to a garment designed by the Mayan communities of Yucatan, Campeche, and Quintana Roo.</w:t>
      </w:r>
      <w:r w:rsidR="0007497A" w:rsidRPr="00474FAB">
        <w:rPr>
          <w:rStyle w:val="FootnoteReference"/>
          <w:rFonts w:cstheme="minorHAnsi"/>
          <w:sz w:val="24"/>
          <w:szCs w:val="24"/>
        </w:rPr>
        <w:t xml:space="preserve"> </w:t>
      </w:r>
      <w:r w:rsidR="0007497A" w:rsidRPr="00474FAB">
        <w:rPr>
          <w:rStyle w:val="FootnoteReference"/>
          <w:rFonts w:cstheme="minorHAnsi"/>
          <w:sz w:val="24"/>
          <w:szCs w:val="24"/>
        </w:rPr>
        <w:footnoteReference w:id="112"/>
      </w:r>
      <w:r w:rsidR="00704C22" w:rsidRPr="00474FAB">
        <w:rPr>
          <w:rFonts w:cstheme="minorHAnsi"/>
          <w:sz w:val="24"/>
          <w:szCs w:val="24"/>
        </w:rPr>
        <w:t xml:space="preserve"> </w:t>
      </w:r>
      <w:r w:rsidRPr="00474FAB">
        <w:rPr>
          <w:rFonts w:cstheme="minorHAnsi"/>
          <w:sz w:val="24"/>
          <w:szCs w:val="24"/>
          <w:lang w:val="en-US"/>
        </w:rPr>
        <w:t>These instances demonstrate that copying works made by local communities can diminish and devalue their culture, raising not only economic and moral rights issues, but also ethical concerns.</w:t>
      </w:r>
    </w:p>
    <w:p w14:paraId="4667B1AC" w14:textId="4A78745F" w:rsidR="00225A12" w:rsidRPr="00474FAB" w:rsidRDefault="00225A12" w:rsidP="00225A12">
      <w:pPr>
        <w:jc w:val="both"/>
        <w:rPr>
          <w:rFonts w:cstheme="minorHAnsi"/>
          <w:sz w:val="24"/>
          <w:szCs w:val="24"/>
          <w:lang w:val="en-US"/>
        </w:rPr>
      </w:pPr>
      <w:r w:rsidRPr="00474FAB">
        <w:rPr>
          <w:rFonts w:cstheme="minorHAnsi"/>
          <w:sz w:val="24"/>
          <w:szCs w:val="24"/>
          <w:lang w:val="en-US"/>
        </w:rPr>
        <w:t xml:space="preserve">While WIPO is exploring the legal framework to protect TK and TCEs among other aspects, </w:t>
      </w:r>
      <w:r w:rsidR="00862049" w:rsidRPr="00474FAB">
        <w:rPr>
          <w:rStyle w:val="FootnoteReference"/>
          <w:rFonts w:cstheme="minorHAnsi"/>
          <w:sz w:val="24"/>
          <w:szCs w:val="24"/>
          <w:lang w:val="en-US"/>
        </w:rPr>
        <w:footnoteReference w:id="113"/>
      </w:r>
      <w:r w:rsidR="00862049" w:rsidRPr="00474FAB">
        <w:rPr>
          <w:rFonts w:cstheme="minorHAnsi"/>
          <w:sz w:val="24"/>
          <w:szCs w:val="24"/>
          <w:lang w:val="en-US"/>
        </w:rPr>
        <w:t xml:space="preserve"> </w:t>
      </w:r>
      <w:r w:rsidRPr="00474FAB">
        <w:rPr>
          <w:rFonts w:cstheme="minorHAnsi"/>
          <w:sz w:val="24"/>
          <w:szCs w:val="24"/>
          <w:lang w:val="en-US"/>
        </w:rPr>
        <w:t>the Convention on Biological Diversity</w:t>
      </w:r>
      <w:r w:rsidR="00B15512" w:rsidRPr="00474FAB">
        <w:rPr>
          <w:rFonts w:cstheme="minorHAnsi"/>
          <w:sz w:val="24"/>
          <w:szCs w:val="24"/>
          <w:lang w:val="en-US"/>
        </w:rPr>
        <w:t xml:space="preserve"> </w:t>
      </w:r>
      <w:r w:rsidR="0068607C" w:rsidRPr="00474FAB">
        <w:rPr>
          <w:rFonts w:cstheme="minorHAnsi"/>
          <w:sz w:val="24"/>
          <w:szCs w:val="24"/>
          <w:lang w:val="en-US"/>
        </w:rPr>
        <w:t>1993</w:t>
      </w:r>
      <w:r w:rsidR="0099015E">
        <w:rPr>
          <w:rFonts w:cstheme="minorHAnsi"/>
          <w:sz w:val="24"/>
          <w:szCs w:val="24"/>
          <w:lang w:val="en-US"/>
        </w:rPr>
        <w:t xml:space="preserve"> </w:t>
      </w:r>
      <w:r w:rsidR="00B15512" w:rsidRPr="00474FAB">
        <w:rPr>
          <w:rFonts w:cstheme="minorHAnsi"/>
          <w:sz w:val="24"/>
          <w:szCs w:val="24"/>
          <w:lang w:val="en-US"/>
        </w:rPr>
        <w:t>(aka the Biodiversity Convention)</w:t>
      </w:r>
      <w:r w:rsidR="0068607C" w:rsidRPr="00474FAB">
        <w:rPr>
          <w:rFonts w:cstheme="minorHAnsi"/>
          <w:sz w:val="24"/>
          <w:szCs w:val="24"/>
          <w:lang w:val="en-US"/>
        </w:rPr>
        <w:t>,</w:t>
      </w:r>
      <w:r w:rsidRPr="00474FAB">
        <w:rPr>
          <w:rFonts w:cstheme="minorHAnsi"/>
          <w:sz w:val="24"/>
          <w:szCs w:val="24"/>
          <w:lang w:val="en-US"/>
        </w:rPr>
        <w:t xml:space="preserve"> and the Nagoya </w:t>
      </w:r>
      <w:r w:rsidR="001768F4" w:rsidRPr="00474FAB">
        <w:rPr>
          <w:rFonts w:cstheme="minorHAnsi"/>
          <w:sz w:val="24"/>
          <w:szCs w:val="24"/>
          <w:lang w:val="en-US"/>
        </w:rPr>
        <w:t xml:space="preserve">Protocol 2010, </w:t>
      </w:r>
      <w:r w:rsidRPr="00474FAB">
        <w:rPr>
          <w:rFonts w:cstheme="minorHAnsi"/>
          <w:sz w:val="24"/>
          <w:szCs w:val="24"/>
          <w:lang w:val="en-US"/>
        </w:rPr>
        <w:t xml:space="preserve">already address the fair and equitable sharing of benefits from the use of TK and the importance of 'informed consent'. However, these two latest international agreements focus on genetic resources, yet they reflect a broader recognition of the importance of respecting traditional knowledge and resources, and thus, preventing the unauthorized use and exploitation of traditional designs by external entities. In the meantime, many regions and countries already recognize tangible cultural expressions such as textiles, </w:t>
      </w:r>
      <w:r w:rsidR="0099015E" w:rsidRPr="00474FAB">
        <w:rPr>
          <w:rFonts w:cstheme="minorHAnsi"/>
          <w:sz w:val="24"/>
          <w:szCs w:val="24"/>
          <w:lang w:val="en-US"/>
        </w:rPr>
        <w:t>jewelry</w:t>
      </w:r>
      <w:r w:rsidRPr="00474FAB">
        <w:rPr>
          <w:rFonts w:cstheme="minorHAnsi"/>
          <w:sz w:val="24"/>
          <w:szCs w:val="24"/>
          <w:lang w:val="en-US"/>
        </w:rPr>
        <w:t xml:space="preserve">, costumes, and needlework. </w:t>
      </w:r>
      <w:r w:rsidR="00412663" w:rsidRPr="00474FAB">
        <w:rPr>
          <w:rStyle w:val="FootnoteReference"/>
          <w:rFonts w:cstheme="minorHAnsi"/>
          <w:sz w:val="24"/>
          <w:szCs w:val="24"/>
          <w:lang w:val="en-US"/>
        </w:rPr>
        <w:footnoteReference w:id="114"/>
      </w:r>
      <w:r w:rsidR="00412663" w:rsidRPr="00474FAB">
        <w:rPr>
          <w:rFonts w:cstheme="minorHAnsi"/>
          <w:sz w:val="24"/>
          <w:szCs w:val="24"/>
          <w:lang w:val="en-US"/>
        </w:rPr>
        <w:t xml:space="preserve"> </w:t>
      </w:r>
      <w:r w:rsidRPr="00474FAB">
        <w:rPr>
          <w:rFonts w:cstheme="minorHAnsi"/>
          <w:sz w:val="24"/>
          <w:szCs w:val="24"/>
          <w:lang w:val="en-US"/>
        </w:rPr>
        <w:t>Besides, traditional communities may have their own customary laws and practices for protecting their cultural designs. These may involve community-level agreements, licensing arrangements, or other mechanisms to ensure that the use of traditional designs aligns with community values.</w:t>
      </w:r>
      <w:r w:rsidR="00EC046F" w:rsidRPr="00474FAB">
        <w:rPr>
          <w:rFonts w:cstheme="minorHAnsi"/>
          <w:sz w:val="24"/>
          <w:szCs w:val="24"/>
          <w:lang w:val="en-US"/>
        </w:rPr>
        <w:t xml:space="preserve"> </w:t>
      </w:r>
      <w:r w:rsidRPr="00474FAB">
        <w:rPr>
          <w:rFonts w:cstheme="minorHAnsi"/>
          <w:sz w:val="24"/>
          <w:szCs w:val="24"/>
          <w:lang w:val="en-US"/>
        </w:rPr>
        <w:t>However, it seems that these instruments have not reached the expected goal due to the principle of territoriality and therefore, developing compliance with corporate social responsibility is a present aim. Certainly, designers should consider engaging in respectful collaborations with communities and seeking permission when incorporating traditional designs into fashion garments.</w:t>
      </w:r>
    </w:p>
    <w:p w14:paraId="1AC9DA5E" w14:textId="77777777" w:rsidR="00225A12" w:rsidRPr="00474FAB" w:rsidRDefault="00225A12" w:rsidP="006D6D35">
      <w:pPr>
        <w:jc w:val="both"/>
        <w:rPr>
          <w:rFonts w:cstheme="minorHAnsi"/>
          <w:sz w:val="24"/>
          <w:szCs w:val="24"/>
          <w:lang w:val="en-US"/>
        </w:rPr>
      </w:pPr>
    </w:p>
    <w:p w14:paraId="4113F80D" w14:textId="7765F3A4" w:rsidR="001703F7" w:rsidRPr="00474FAB" w:rsidRDefault="001703F7" w:rsidP="001627EE">
      <w:pPr>
        <w:pStyle w:val="ListParagraph"/>
        <w:jc w:val="both"/>
        <w:rPr>
          <w:rFonts w:cstheme="minorHAnsi"/>
          <w:sz w:val="24"/>
          <w:szCs w:val="24"/>
          <w:lang w:val="en-US"/>
        </w:rPr>
      </w:pPr>
      <w:r w:rsidRPr="00474FAB">
        <w:rPr>
          <w:rFonts w:cstheme="minorHAnsi"/>
          <w:sz w:val="24"/>
          <w:szCs w:val="24"/>
          <w:lang w:val="en-US"/>
        </w:rPr>
        <w:t xml:space="preserve">4. Fashion, Design Law, and Circular Economy </w:t>
      </w:r>
    </w:p>
    <w:p w14:paraId="2AFC04D4" w14:textId="77777777" w:rsidR="004D5C08" w:rsidRPr="00474FAB" w:rsidRDefault="004D5C08" w:rsidP="001627EE">
      <w:pPr>
        <w:pStyle w:val="ListParagraph"/>
        <w:jc w:val="both"/>
        <w:rPr>
          <w:rFonts w:cstheme="minorHAnsi"/>
          <w:sz w:val="24"/>
          <w:szCs w:val="24"/>
          <w:lang w:val="en-US"/>
        </w:rPr>
      </w:pPr>
    </w:p>
    <w:p w14:paraId="45BC1F7A" w14:textId="77777777" w:rsidR="004D5C08" w:rsidRPr="004D5C08" w:rsidRDefault="004D5C08" w:rsidP="004D5C08">
      <w:pPr>
        <w:spacing w:after="0" w:line="240" w:lineRule="auto"/>
        <w:rPr>
          <w:rFonts w:ascii="Calibri" w:eastAsia="Calibri" w:hAnsi="Calibri" w:cs="Times New Roman"/>
          <w:sz w:val="24"/>
          <w:szCs w:val="24"/>
          <w:lang w:val="en-US"/>
        </w:rPr>
      </w:pPr>
      <w:r w:rsidRPr="004D5C08">
        <w:rPr>
          <w:rFonts w:ascii="Calibri" w:eastAsia="Calibri" w:hAnsi="Calibri" w:cs="Times New Roman"/>
          <w:sz w:val="24"/>
          <w:szCs w:val="24"/>
          <w:lang w:val="en-US"/>
        </w:rPr>
        <w:t xml:space="preserve">The term of the circular economy does not seem to have a uniform definition. </w:t>
      </w:r>
      <w:r w:rsidRPr="004D5C08">
        <w:rPr>
          <w:rFonts w:ascii="Calibri" w:eastAsia="Calibri" w:hAnsi="Calibri" w:cs="Times New Roman"/>
          <w:sz w:val="24"/>
          <w:szCs w:val="24"/>
          <w:vertAlign w:val="superscript"/>
          <w:lang w:val="en-US"/>
        </w:rPr>
        <w:footnoteReference w:id="115"/>
      </w:r>
      <w:r w:rsidRPr="004D5C08">
        <w:rPr>
          <w:rFonts w:ascii="Calibri" w:eastAsia="Calibri" w:hAnsi="Calibri" w:cs="Times New Roman"/>
          <w:sz w:val="24"/>
          <w:szCs w:val="24"/>
          <w:lang w:val="en-US"/>
        </w:rPr>
        <w:t xml:space="preserve"> Furthermore, the term is sometimes used as an umbrella term, including the sharing economy.</w:t>
      </w:r>
      <w:r w:rsidRPr="004D5C08">
        <w:rPr>
          <w:rFonts w:ascii="Calibri" w:eastAsia="Calibri" w:hAnsi="Calibri" w:cs="Times New Roman"/>
          <w:sz w:val="24"/>
          <w:szCs w:val="24"/>
          <w:vertAlign w:val="superscript"/>
          <w:lang w:val="en-US"/>
        </w:rPr>
        <w:footnoteReference w:id="116"/>
      </w:r>
      <w:r w:rsidRPr="004D5C08">
        <w:rPr>
          <w:rFonts w:ascii="Calibri" w:eastAsia="Calibri" w:hAnsi="Calibri" w:cs="Times New Roman"/>
          <w:sz w:val="24"/>
          <w:szCs w:val="24"/>
          <w:lang w:val="en-US"/>
        </w:rPr>
        <w:t xml:space="preserve"> However, the circular economy is about creating a system where the flows do not burden our environment, which means that waste and pollution are eliminated. Products and materials can then be circulated endlessly as new natural resources do not need to be used.</w:t>
      </w:r>
      <w:r w:rsidRPr="004D5C08">
        <w:rPr>
          <w:rFonts w:ascii="Calibri" w:eastAsia="Calibri" w:hAnsi="Calibri" w:cs="Times New Roman"/>
          <w:sz w:val="24"/>
          <w:szCs w:val="24"/>
          <w:vertAlign w:val="superscript"/>
          <w:lang w:val="en-US"/>
        </w:rPr>
        <w:footnoteReference w:id="117"/>
      </w:r>
      <w:r w:rsidRPr="004D5C08">
        <w:rPr>
          <w:rFonts w:ascii="Calibri" w:eastAsia="Calibri" w:hAnsi="Calibri" w:cs="Times New Roman"/>
          <w:sz w:val="24"/>
          <w:szCs w:val="24"/>
          <w:lang w:val="en-US"/>
        </w:rPr>
        <w:t xml:space="preserve"> </w:t>
      </w:r>
    </w:p>
    <w:p w14:paraId="5D10586C" w14:textId="77777777" w:rsidR="004D5C08" w:rsidRPr="004D5C08" w:rsidRDefault="004D5C08" w:rsidP="004D5C08">
      <w:pPr>
        <w:spacing w:after="0" w:line="240" w:lineRule="auto"/>
        <w:rPr>
          <w:rFonts w:ascii="Calibri" w:eastAsia="Calibri" w:hAnsi="Calibri" w:cs="Times New Roman"/>
          <w:sz w:val="24"/>
          <w:szCs w:val="24"/>
          <w:lang w:val="en-US"/>
        </w:rPr>
      </w:pPr>
    </w:p>
    <w:p w14:paraId="571CFD8D" w14:textId="77777777" w:rsidR="004D5C08" w:rsidRPr="004D5C08" w:rsidRDefault="004D5C08" w:rsidP="004D5C08">
      <w:pPr>
        <w:spacing w:after="0" w:line="240" w:lineRule="auto"/>
        <w:rPr>
          <w:rFonts w:ascii="Calibri" w:eastAsia="Calibri" w:hAnsi="Calibri" w:cs="Times New Roman"/>
          <w:sz w:val="24"/>
          <w:szCs w:val="24"/>
          <w:lang w:val="en-US"/>
        </w:rPr>
      </w:pPr>
      <w:r w:rsidRPr="004D5C08">
        <w:rPr>
          <w:rFonts w:ascii="Calibri" w:eastAsia="Calibri" w:hAnsi="Calibri" w:cs="Times New Roman"/>
          <w:sz w:val="24"/>
          <w:szCs w:val="24"/>
          <w:lang w:val="en-US"/>
        </w:rPr>
        <w:t>The circular economy is often discussed as the opposite of the linear economy. The linear economy developed during industrialism and is usually described as being based on the idea of a 'take, make and dispose' society. It should be noted that even though intellectual property law existed before the Second Industrial Revolution, the two world conventions - the Berne and Paris Conventions - came into being during this period. Thus, the intellectual property system was essentially designed in an era of a linear economy, which has affected the design of the exclusive rights structure, as well as the limitations and exceptions designed to balance the system. Hence, a transition from a linear economy to a circular economy requires a review of intellectual property law and its functioning.</w:t>
      </w:r>
    </w:p>
    <w:p w14:paraId="0E37EDA8" w14:textId="77777777" w:rsidR="004D5C08" w:rsidRPr="004D5C08" w:rsidRDefault="004D5C08" w:rsidP="004D5C08">
      <w:pPr>
        <w:spacing w:after="0" w:line="240" w:lineRule="auto"/>
        <w:rPr>
          <w:rFonts w:ascii="Calibri" w:eastAsia="Calibri" w:hAnsi="Calibri" w:cs="Times New Roman"/>
          <w:sz w:val="24"/>
          <w:szCs w:val="24"/>
          <w:lang w:val="en-US"/>
        </w:rPr>
      </w:pPr>
    </w:p>
    <w:p w14:paraId="12A4FAEF" w14:textId="77777777" w:rsidR="004D5C08" w:rsidRPr="004D5C08" w:rsidRDefault="004D5C08" w:rsidP="004D5C08">
      <w:pPr>
        <w:spacing w:after="0" w:line="240" w:lineRule="auto"/>
        <w:rPr>
          <w:rFonts w:ascii="Calibri" w:eastAsia="Calibri" w:hAnsi="Calibri" w:cs="Times New Roman"/>
          <w:sz w:val="24"/>
          <w:szCs w:val="24"/>
          <w:lang w:val="en-US"/>
        </w:rPr>
      </w:pPr>
      <w:r w:rsidRPr="004D5C08">
        <w:rPr>
          <w:rFonts w:ascii="Calibri" w:eastAsia="Calibri" w:hAnsi="Calibri" w:cs="Times New Roman"/>
          <w:sz w:val="24"/>
          <w:szCs w:val="24"/>
          <w:lang w:val="en-US"/>
        </w:rPr>
        <w:t>Being able to repair and have access to spare parts and reuse products will be of great importance in this transition.</w:t>
      </w:r>
    </w:p>
    <w:p w14:paraId="5E3B5F71" w14:textId="77777777" w:rsidR="004D5C08" w:rsidRPr="004D5C08" w:rsidRDefault="004D5C08" w:rsidP="004D5C08">
      <w:pPr>
        <w:spacing w:after="0" w:line="240" w:lineRule="auto"/>
        <w:rPr>
          <w:rFonts w:ascii="Calibri" w:eastAsia="Calibri" w:hAnsi="Calibri" w:cs="Times New Roman"/>
          <w:sz w:val="24"/>
          <w:szCs w:val="24"/>
          <w:lang w:val="en-US"/>
        </w:rPr>
      </w:pPr>
    </w:p>
    <w:p w14:paraId="26C949DE" w14:textId="2EBADE67" w:rsidR="004D5C08" w:rsidRPr="004D5C08" w:rsidRDefault="004D5C08" w:rsidP="004D5C08">
      <w:pPr>
        <w:spacing w:after="0" w:line="240" w:lineRule="auto"/>
        <w:rPr>
          <w:rFonts w:ascii="Calibri" w:eastAsia="Calibri" w:hAnsi="Calibri" w:cs="Times New Roman"/>
          <w:sz w:val="24"/>
          <w:szCs w:val="24"/>
          <w:lang w:val="en-US"/>
        </w:rPr>
      </w:pPr>
      <w:r w:rsidRPr="004D5C08">
        <w:rPr>
          <w:rFonts w:ascii="Calibri" w:eastAsia="Calibri" w:hAnsi="Calibri" w:cs="Times New Roman"/>
          <w:sz w:val="24"/>
          <w:szCs w:val="24"/>
          <w:lang w:val="en-US"/>
        </w:rPr>
        <w:t xml:space="preserve">The problem with the right to repair and access to spare parts is not new in design law. It was discussed already when the directive and regulation were negotiated. Spare parts are component parts used to repair a complex product to restore its original appearance (must-match parts). When the Design Directive was negotiated, no agreement was reached on must-match parts, only on must-fit parts. As a result, spare parts (must-match parts) were left outside the Directive. Therefore, Article 14 DD states that “Member States shall maintain in force their existing legal provisions relating to the use of the design of a component part used for the purpose of the repair of a complex product so as to restore its original appearance and shall introduce changes to those provisions only if the purpose is to </w:t>
      </w:r>
      <w:proofErr w:type="spellStart"/>
      <w:r w:rsidRPr="004D5C08">
        <w:rPr>
          <w:rFonts w:ascii="Calibri" w:eastAsia="Calibri" w:hAnsi="Calibri" w:cs="Times New Roman"/>
          <w:sz w:val="24"/>
          <w:szCs w:val="24"/>
          <w:lang w:val="en-US"/>
        </w:rPr>
        <w:t>liberalise</w:t>
      </w:r>
      <w:proofErr w:type="spellEnd"/>
      <w:r w:rsidRPr="004D5C08">
        <w:rPr>
          <w:rFonts w:ascii="Calibri" w:eastAsia="Calibri" w:hAnsi="Calibri" w:cs="Times New Roman"/>
          <w:sz w:val="24"/>
          <w:szCs w:val="24"/>
          <w:lang w:val="en-US"/>
        </w:rPr>
        <w:t xml:space="preserve"> the market for such parts” (the freeze plus clause). In the </w:t>
      </w:r>
      <w:r w:rsidR="00322AB7">
        <w:rPr>
          <w:rFonts w:ascii="Calibri" w:eastAsia="Calibri" w:hAnsi="Calibri" w:cs="Times New Roman"/>
          <w:sz w:val="24"/>
          <w:szCs w:val="24"/>
          <w:lang w:val="en-US"/>
        </w:rPr>
        <w:t>RCD</w:t>
      </w:r>
      <w:r w:rsidRPr="004D5C08">
        <w:rPr>
          <w:rFonts w:ascii="Calibri" w:eastAsia="Calibri" w:hAnsi="Calibri" w:cs="Times New Roman"/>
          <w:sz w:val="24"/>
          <w:szCs w:val="24"/>
          <w:lang w:val="en-US"/>
        </w:rPr>
        <w:t xml:space="preserve"> a “repair clause” was introduced in article 110(1) which limits the Community design right in cases that concern the component parts of a complex product used for repairing that product </w:t>
      </w:r>
      <w:proofErr w:type="gramStart"/>
      <w:r w:rsidRPr="004D5C08">
        <w:rPr>
          <w:rFonts w:ascii="Calibri" w:eastAsia="Calibri" w:hAnsi="Calibri" w:cs="Times New Roman"/>
          <w:sz w:val="24"/>
          <w:szCs w:val="24"/>
          <w:lang w:val="en-US"/>
        </w:rPr>
        <w:t>so as to</w:t>
      </w:r>
      <w:proofErr w:type="gramEnd"/>
      <w:r w:rsidRPr="004D5C08">
        <w:rPr>
          <w:rFonts w:ascii="Calibri" w:eastAsia="Calibri" w:hAnsi="Calibri" w:cs="Times New Roman"/>
          <w:sz w:val="24"/>
          <w:szCs w:val="24"/>
          <w:lang w:val="en-US"/>
        </w:rPr>
        <w:t xml:space="preserve"> restore its original appearance. </w:t>
      </w:r>
      <w:r w:rsidRPr="004D5C08">
        <w:rPr>
          <w:rFonts w:ascii="Calibri" w:eastAsia="Calibri" w:hAnsi="Calibri" w:cs="Times New Roman"/>
          <w:sz w:val="24"/>
          <w:szCs w:val="24"/>
          <w:vertAlign w:val="superscript"/>
          <w:lang w:val="en-US"/>
        </w:rPr>
        <w:footnoteReference w:id="118"/>
      </w:r>
      <w:r w:rsidRPr="004D5C08">
        <w:rPr>
          <w:rFonts w:ascii="Calibri" w:eastAsia="Calibri" w:hAnsi="Calibri" w:cs="Times New Roman"/>
          <w:sz w:val="24"/>
          <w:szCs w:val="24"/>
          <w:lang w:val="en-US"/>
        </w:rPr>
        <w:t xml:space="preserve"> In the European Commission proposal for a revisited </w:t>
      </w:r>
      <w:r w:rsidRPr="004D5C08">
        <w:rPr>
          <w:rFonts w:ascii="Calibri" w:eastAsia="Calibri" w:hAnsi="Calibri" w:cs="Times New Roman"/>
          <w:sz w:val="24"/>
          <w:szCs w:val="24"/>
          <w:lang w:val="en-US"/>
        </w:rPr>
        <w:lastRenderedPageBreak/>
        <w:t>Regulation and Directive on design, a repair clause is introduced codifying the CJEU ruling in case C-397/16, EU:C:2017:992, Acacia.</w:t>
      </w:r>
      <w:r w:rsidRPr="004D5C08">
        <w:rPr>
          <w:rFonts w:ascii="Calibri" w:eastAsia="Calibri" w:hAnsi="Calibri" w:cs="Times New Roman"/>
          <w:sz w:val="24"/>
          <w:szCs w:val="24"/>
          <w:vertAlign w:val="superscript"/>
          <w:lang w:val="en-US"/>
        </w:rPr>
        <w:footnoteReference w:id="119"/>
      </w:r>
    </w:p>
    <w:p w14:paraId="13239EFF" w14:textId="77777777" w:rsidR="004D5C08" w:rsidRPr="004D5C08" w:rsidRDefault="004D5C08" w:rsidP="004D5C08">
      <w:pPr>
        <w:spacing w:after="0" w:line="240" w:lineRule="auto"/>
        <w:rPr>
          <w:rFonts w:ascii="Calibri" w:eastAsia="Calibri" w:hAnsi="Calibri" w:cs="Times New Roman"/>
          <w:sz w:val="24"/>
          <w:szCs w:val="24"/>
          <w:lang w:val="en-US"/>
        </w:rPr>
      </w:pPr>
    </w:p>
    <w:p w14:paraId="58974BD7" w14:textId="77777777" w:rsidR="004D5C08" w:rsidRPr="004D5C08" w:rsidRDefault="004D5C08" w:rsidP="004D5C08">
      <w:pPr>
        <w:spacing w:after="0" w:line="240" w:lineRule="auto"/>
        <w:rPr>
          <w:rFonts w:ascii="Calibri" w:eastAsia="Calibri" w:hAnsi="Calibri" w:cs="Times New Roman"/>
          <w:sz w:val="24"/>
          <w:szCs w:val="24"/>
          <w:lang w:val="en-US"/>
        </w:rPr>
      </w:pPr>
      <w:r w:rsidRPr="004D5C08">
        <w:rPr>
          <w:rFonts w:ascii="Calibri" w:eastAsia="Calibri" w:hAnsi="Calibri" w:cs="Times New Roman"/>
          <w:sz w:val="24"/>
          <w:szCs w:val="24"/>
          <w:lang w:val="en-US"/>
        </w:rPr>
        <w:t>Different forms of product reuse will increase in the new economy. Traditional reuse is secondhand, where the consumer buys used goods. Another type of reuse is renting or borrowing goods instead of buying them. A new business model based on the latter kind of reuse is Libraries of Things (</w:t>
      </w:r>
      <w:proofErr w:type="spellStart"/>
      <w:r w:rsidRPr="004D5C08">
        <w:rPr>
          <w:rFonts w:ascii="Calibri" w:eastAsia="Calibri" w:hAnsi="Calibri" w:cs="Times New Roman"/>
          <w:sz w:val="24"/>
          <w:szCs w:val="24"/>
          <w:lang w:val="en-US"/>
        </w:rPr>
        <w:t>LoTs</w:t>
      </w:r>
      <w:proofErr w:type="spellEnd"/>
      <w:r w:rsidRPr="004D5C08">
        <w:rPr>
          <w:rFonts w:ascii="Calibri" w:eastAsia="Calibri" w:hAnsi="Calibri" w:cs="Times New Roman"/>
          <w:sz w:val="24"/>
          <w:szCs w:val="24"/>
          <w:lang w:val="en-US"/>
        </w:rPr>
        <w:t>), where you rent or borrow things other than books.</w:t>
      </w:r>
      <w:r w:rsidRPr="004D5C08">
        <w:rPr>
          <w:rFonts w:ascii="Calibri" w:eastAsia="Calibri" w:hAnsi="Calibri" w:cs="Times New Roman"/>
          <w:sz w:val="24"/>
          <w:szCs w:val="24"/>
          <w:vertAlign w:val="superscript"/>
          <w:lang w:val="en-US"/>
        </w:rPr>
        <w:footnoteReference w:id="120"/>
      </w:r>
      <w:r w:rsidRPr="004D5C08">
        <w:rPr>
          <w:rFonts w:ascii="Calibri" w:eastAsia="Calibri" w:hAnsi="Calibri" w:cs="Times New Roman"/>
          <w:sz w:val="24"/>
          <w:szCs w:val="24"/>
          <w:lang w:val="en-US"/>
        </w:rPr>
        <w:t xml:space="preserve"> </w:t>
      </w:r>
      <w:proofErr w:type="spellStart"/>
      <w:r w:rsidRPr="004D5C08">
        <w:rPr>
          <w:rFonts w:ascii="Calibri" w:eastAsia="Calibri" w:hAnsi="Calibri" w:cs="Times New Roman"/>
          <w:sz w:val="24"/>
          <w:szCs w:val="24"/>
          <w:lang w:val="en-US"/>
        </w:rPr>
        <w:t>LoTs</w:t>
      </w:r>
      <w:proofErr w:type="spellEnd"/>
      <w:r w:rsidRPr="004D5C08">
        <w:rPr>
          <w:rFonts w:ascii="Calibri" w:eastAsia="Calibri" w:hAnsi="Calibri" w:cs="Times New Roman"/>
          <w:sz w:val="24"/>
          <w:szCs w:val="24"/>
          <w:lang w:val="en-US"/>
        </w:rPr>
        <w:t xml:space="preserve"> can be libraries where people borrow clothes, shoes, and accessories. The idea behind these libraries is easy to understand when it has been found, for example, that a drill is used on average less than an hour by the buyer or even perhaps as little as 13 minutes.</w:t>
      </w:r>
      <w:r w:rsidRPr="004D5C08">
        <w:rPr>
          <w:rFonts w:ascii="Calibri" w:eastAsia="Calibri" w:hAnsi="Calibri" w:cs="Times New Roman"/>
          <w:sz w:val="24"/>
          <w:szCs w:val="24"/>
          <w:vertAlign w:val="superscript"/>
          <w:lang w:val="en-US"/>
        </w:rPr>
        <w:footnoteReference w:id="121"/>
      </w:r>
    </w:p>
    <w:p w14:paraId="3F456194" w14:textId="77777777" w:rsidR="004D5C08" w:rsidRPr="004D5C08" w:rsidRDefault="004D5C08" w:rsidP="004D5C08">
      <w:pPr>
        <w:spacing w:after="0" w:line="240" w:lineRule="auto"/>
        <w:rPr>
          <w:rFonts w:ascii="Calibri" w:eastAsia="Calibri" w:hAnsi="Calibri" w:cs="Times New Roman"/>
          <w:sz w:val="24"/>
          <w:szCs w:val="24"/>
          <w:lang w:val="en-US"/>
        </w:rPr>
      </w:pPr>
    </w:p>
    <w:p w14:paraId="63BD48E0" w14:textId="77777777" w:rsidR="004D5C08" w:rsidRPr="004D5C08" w:rsidRDefault="004D5C08" w:rsidP="004D5C08">
      <w:pPr>
        <w:spacing w:after="0" w:line="240" w:lineRule="auto"/>
        <w:rPr>
          <w:rFonts w:ascii="Calibri" w:eastAsia="Calibri" w:hAnsi="Calibri" w:cs="Times New Roman"/>
          <w:sz w:val="24"/>
          <w:szCs w:val="24"/>
          <w:lang w:val="en-US"/>
        </w:rPr>
      </w:pPr>
      <w:r w:rsidRPr="004D5C08">
        <w:rPr>
          <w:rFonts w:ascii="Calibri" w:eastAsia="Calibri" w:hAnsi="Calibri" w:cs="Times New Roman"/>
          <w:sz w:val="24"/>
          <w:szCs w:val="24"/>
          <w:lang w:val="en-US"/>
        </w:rPr>
        <w:t xml:space="preserve">If a design right protects the product, the exhaustion rule in articles 15 DD and 21 RCD restricts the exclusive rights stipulated in articles 12 DD and 19 RCD. The exclusive right is formulated to give the right owner the exclusive right "to use it and to prevent any third party not having his consent from using it". Use covers "making, offering, putting on the market, importing, exporting or using of a product in which the design is incorporated or to which it is applied, or stocking such a product for those purposes". The concept of offering includes offering a product not only for sale but also for rent or loan. </w:t>
      </w:r>
    </w:p>
    <w:p w14:paraId="6FA1989B" w14:textId="77777777" w:rsidR="004D5C08" w:rsidRPr="004D5C08" w:rsidRDefault="004D5C08" w:rsidP="004D5C08">
      <w:pPr>
        <w:spacing w:after="0" w:line="240" w:lineRule="auto"/>
        <w:rPr>
          <w:rFonts w:ascii="Calibri" w:eastAsia="Calibri" w:hAnsi="Calibri" w:cs="Times New Roman"/>
          <w:sz w:val="24"/>
          <w:szCs w:val="24"/>
          <w:lang w:val="en-US"/>
        </w:rPr>
      </w:pPr>
    </w:p>
    <w:p w14:paraId="25686D58" w14:textId="77777777" w:rsidR="004D5C08" w:rsidRPr="004D5C08" w:rsidRDefault="004D5C08" w:rsidP="004D5C08">
      <w:pPr>
        <w:spacing w:after="0" w:line="240" w:lineRule="auto"/>
        <w:rPr>
          <w:rFonts w:ascii="Calibri" w:eastAsia="Calibri" w:hAnsi="Calibri" w:cs="Times New Roman"/>
          <w:sz w:val="24"/>
          <w:szCs w:val="24"/>
          <w:lang w:val="en-US"/>
        </w:rPr>
      </w:pPr>
      <w:r w:rsidRPr="004D5C08">
        <w:rPr>
          <w:rFonts w:ascii="Calibri" w:eastAsia="Calibri" w:hAnsi="Calibri" w:cs="Times New Roman"/>
          <w:sz w:val="24"/>
          <w:szCs w:val="24"/>
          <w:lang w:val="en-US"/>
        </w:rPr>
        <w:t xml:space="preserve">Traditional secondhand is not infringing as the genuine product's design right is exhausted. The exhaustion rule means that the right holder cannot prevent the exploitation of the protected product if it has been put on the market in the Community by the designer or the holder of the Community design or with his/her consent. The same applies to </w:t>
      </w:r>
      <w:proofErr w:type="spellStart"/>
      <w:r w:rsidRPr="004D5C08">
        <w:rPr>
          <w:rFonts w:ascii="Calibri" w:eastAsia="Calibri" w:hAnsi="Calibri" w:cs="Times New Roman"/>
          <w:sz w:val="24"/>
          <w:szCs w:val="24"/>
          <w:lang w:val="en-US"/>
        </w:rPr>
        <w:t>LoTs</w:t>
      </w:r>
      <w:proofErr w:type="spellEnd"/>
      <w:r w:rsidRPr="004D5C08">
        <w:rPr>
          <w:rFonts w:ascii="Calibri" w:eastAsia="Calibri" w:hAnsi="Calibri" w:cs="Times New Roman"/>
          <w:sz w:val="24"/>
          <w:szCs w:val="24"/>
          <w:lang w:val="en-US"/>
        </w:rPr>
        <w:t>, as genuine products are rented or borrowed. It should be noted that the right to the physical, unmodified product placed on the market is exhausted.</w:t>
      </w:r>
    </w:p>
    <w:p w14:paraId="32378656" w14:textId="77777777" w:rsidR="004D5C08" w:rsidRPr="004D5C08" w:rsidRDefault="004D5C08" w:rsidP="004D5C08">
      <w:pPr>
        <w:spacing w:after="0" w:line="240" w:lineRule="auto"/>
        <w:rPr>
          <w:rFonts w:ascii="Calibri" w:eastAsia="Calibri" w:hAnsi="Calibri" w:cs="Times New Roman"/>
          <w:sz w:val="24"/>
          <w:szCs w:val="24"/>
          <w:lang w:val="en-US"/>
        </w:rPr>
      </w:pPr>
    </w:p>
    <w:p w14:paraId="17296205" w14:textId="77777777" w:rsidR="004D5C08" w:rsidRPr="004D5C08" w:rsidRDefault="004D5C08" w:rsidP="004D5C08">
      <w:pPr>
        <w:spacing w:after="0" w:line="240" w:lineRule="auto"/>
        <w:rPr>
          <w:rFonts w:ascii="Calibri" w:eastAsia="Calibri" w:hAnsi="Calibri" w:cs="Times New Roman"/>
          <w:sz w:val="24"/>
          <w:szCs w:val="24"/>
          <w:lang w:val="en-US"/>
        </w:rPr>
      </w:pPr>
      <w:r w:rsidRPr="004D5C08">
        <w:rPr>
          <w:rFonts w:ascii="Calibri" w:eastAsia="Calibri" w:hAnsi="Calibri" w:cs="Times New Roman"/>
          <w:sz w:val="24"/>
          <w:szCs w:val="24"/>
          <w:lang w:val="en-US"/>
        </w:rPr>
        <w:t xml:space="preserve">Creative reuse (redesign, upcycling, remake) is a form of recycling that reuses materials or products and adds value through a creative process. In many cases, only the recycled material is used. For example, old towels, curtains, and rugs can become new clothes. </w:t>
      </w:r>
      <w:r w:rsidRPr="004D5C08">
        <w:rPr>
          <w:rFonts w:ascii="Calibri" w:eastAsia="Calibri" w:hAnsi="Calibri" w:cs="Times New Roman"/>
          <w:sz w:val="24"/>
          <w:szCs w:val="24"/>
          <w:vertAlign w:val="superscript"/>
          <w:lang w:val="en-US"/>
        </w:rPr>
        <w:footnoteReference w:id="122"/>
      </w:r>
      <w:r w:rsidRPr="004D5C08">
        <w:rPr>
          <w:rFonts w:ascii="Calibri" w:eastAsia="Calibri" w:hAnsi="Calibri" w:cs="Times New Roman"/>
          <w:sz w:val="24"/>
          <w:szCs w:val="24"/>
          <w:lang w:val="en-US"/>
        </w:rPr>
        <w:t xml:space="preserve"> In other cases, genuine goods are re-designed creatively. Here, it is often genuine products or product parts of famous brands that are used to create new products or redesigned by a specific actor.</w:t>
      </w:r>
      <w:r w:rsidRPr="004D5C08">
        <w:rPr>
          <w:rFonts w:ascii="Calibri" w:eastAsia="Calibri" w:hAnsi="Calibri" w:cs="Times New Roman"/>
          <w:sz w:val="24"/>
          <w:szCs w:val="24"/>
          <w:vertAlign w:val="superscript"/>
          <w:lang w:val="en-US"/>
        </w:rPr>
        <w:footnoteReference w:id="123"/>
      </w:r>
      <w:r w:rsidRPr="004D5C08">
        <w:rPr>
          <w:rFonts w:ascii="Calibri" w:eastAsia="Calibri" w:hAnsi="Calibri" w:cs="Times New Roman"/>
          <w:sz w:val="24"/>
          <w:szCs w:val="24"/>
          <w:lang w:val="en-US"/>
        </w:rPr>
        <w:t xml:space="preserve"> Like the business model mentioned above, the admissibility of this model is mainly based on the applicability of the principle of exhaustion.</w:t>
      </w:r>
    </w:p>
    <w:p w14:paraId="29A205F3" w14:textId="77777777" w:rsidR="004D5C08" w:rsidRPr="004D5C08" w:rsidRDefault="004D5C08" w:rsidP="004D5C08">
      <w:pPr>
        <w:spacing w:after="0" w:line="240" w:lineRule="auto"/>
        <w:rPr>
          <w:rFonts w:ascii="Calibri" w:eastAsia="Calibri" w:hAnsi="Calibri" w:cs="Times New Roman"/>
          <w:sz w:val="24"/>
          <w:szCs w:val="24"/>
          <w:lang w:val="en-US"/>
        </w:rPr>
      </w:pPr>
    </w:p>
    <w:p w14:paraId="47CB1497" w14:textId="77777777" w:rsidR="004D5C08" w:rsidRPr="004D5C08" w:rsidRDefault="004D5C08" w:rsidP="004D5C08">
      <w:pPr>
        <w:spacing w:after="0" w:line="240" w:lineRule="auto"/>
        <w:rPr>
          <w:rFonts w:ascii="Calibri" w:eastAsia="Calibri" w:hAnsi="Calibri" w:cs="Times New Roman"/>
          <w:sz w:val="24"/>
          <w:szCs w:val="24"/>
          <w:lang w:val="en-US"/>
        </w:rPr>
      </w:pPr>
      <w:r w:rsidRPr="004D5C08">
        <w:rPr>
          <w:rFonts w:ascii="Calibri" w:eastAsia="Calibri" w:hAnsi="Calibri" w:cs="Times New Roman"/>
          <w:sz w:val="24"/>
          <w:szCs w:val="24"/>
          <w:lang w:val="en-US"/>
        </w:rPr>
        <w:t xml:space="preserve">If a product exhausted by design right is redesigned, upcycled, or remade, it has been established above that it is the physical, unmodified product put into circulation on the market in the Community that is exhausted. This has been confirmed by the </w:t>
      </w:r>
      <w:r w:rsidRPr="004D5C08">
        <w:rPr>
          <w:rFonts w:ascii="Calibri" w:eastAsia="Calibri" w:hAnsi="Calibri" w:cs="Times New Roman"/>
          <w:sz w:val="24"/>
          <w:szCs w:val="24"/>
          <w:lang w:val="en-US"/>
        </w:rPr>
        <w:lastRenderedPageBreak/>
        <w:t>Bundesgerichtshof in an infringement case concerning a community design. In that case, a genuine Daimler car had been modified by lengthening the vehicle by adding a center section. In this case, the alleged infringer claimed exhaustion, but the Court noted that exhaustion refers only to the goods placed on the market and not to any of the characteristics of those goods. Furthermore, the Court stated that the converted car was clearly different from the standard version placed on the market and that exhaustion did not apply.</w:t>
      </w:r>
      <w:r w:rsidRPr="004D5C08">
        <w:rPr>
          <w:rFonts w:ascii="Calibri" w:eastAsia="Calibri" w:hAnsi="Calibri" w:cs="Times New Roman"/>
          <w:sz w:val="24"/>
          <w:szCs w:val="24"/>
          <w:vertAlign w:val="superscript"/>
          <w:lang w:val="en-US"/>
        </w:rPr>
        <w:footnoteReference w:id="124"/>
      </w:r>
      <w:r w:rsidRPr="004D5C08">
        <w:rPr>
          <w:rFonts w:ascii="Calibri" w:eastAsia="Calibri" w:hAnsi="Calibri" w:cs="Times New Roman"/>
          <w:sz w:val="24"/>
          <w:szCs w:val="24"/>
          <w:lang w:val="en-US"/>
        </w:rPr>
        <w:t xml:space="preserve">  However, if the converted product produces a different overall impression on the informed user it will fall outside the scope of protection of the design and it will not be an infringement.</w:t>
      </w:r>
    </w:p>
    <w:p w14:paraId="54E1D279" w14:textId="77777777" w:rsidR="004D5C08" w:rsidRPr="004D5C08" w:rsidRDefault="004D5C08" w:rsidP="004D5C08">
      <w:pPr>
        <w:spacing w:after="0" w:line="240" w:lineRule="auto"/>
        <w:rPr>
          <w:rFonts w:ascii="Calibri" w:eastAsia="Calibri" w:hAnsi="Calibri" w:cs="Times New Roman"/>
          <w:sz w:val="24"/>
          <w:szCs w:val="24"/>
          <w:lang w:val="en-US"/>
        </w:rPr>
      </w:pPr>
    </w:p>
    <w:p w14:paraId="76546231" w14:textId="77777777" w:rsidR="004D5C08" w:rsidRPr="004D5C08" w:rsidRDefault="004D5C08" w:rsidP="004D5C08">
      <w:pPr>
        <w:spacing w:after="0" w:line="240" w:lineRule="auto"/>
        <w:rPr>
          <w:rFonts w:ascii="Calibri" w:eastAsia="Calibri" w:hAnsi="Calibri" w:cs="Times New Roman"/>
          <w:sz w:val="24"/>
          <w:szCs w:val="24"/>
          <w:lang w:val="en-US"/>
        </w:rPr>
      </w:pPr>
    </w:p>
    <w:p w14:paraId="615D1340" w14:textId="77777777" w:rsidR="004D5C08" w:rsidRPr="00474FAB" w:rsidRDefault="004D5C08" w:rsidP="001627EE">
      <w:pPr>
        <w:pStyle w:val="ListParagraph"/>
        <w:jc w:val="both"/>
        <w:rPr>
          <w:rFonts w:cstheme="minorHAnsi"/>
          <w:sz w:val="24"/>
          <w:szCs w:val="24"/>
          <w:lang w:val="en-US"/>
        </w:rPr>
      </w:pPr>
    </w:p>
    <w:p w14:paraId="0B64EE5B" w14:textId="3378C9ED" w:rsidR="00313758" w:rsidRDefault="001703F7" w:rsidP="002743F3">
      <w:pPr>
        <w:pStyle w:val="ListParagraph"/>
        <w:jc w:val="both"/>
        <w:rPr>
          <w:lang w:val="en-US"/>
        </w:rPr>
      </w:pPr>
      <w:r w:rsidRPr="008736BD">
        <w:rPr>
          <w:rFonts w:cstheme="minorHAnsi"/>
          <w:sz w:val="24"/>
          <w:szCs w:val="24"/>
          <w:lang w:val="en-US"/>
        </w:rPr>
        <w:t xml:space="preserve">5. </w:t>
      </w:r>
      <w:bookmarkStart w:id="12" w:name="_Hlk156414505"/>
      <w:r w:rsidRPr="008736BD">
        <w:rPr>
          <w:rFonts w:cstheme="minorHAnsi"/>
          <w:sz w:val="24"/>
          <w:szCs w:val="24"/>
          <w:lang w:val="en-US"/>
        </w:rPr>
        <w:t xml:space="preserve">Overlapping IP Protections for Fashion in EU Law </w:t>
      </w:r>
      <w:bookmarkEnd w:id="12"/>
    </w:p>
    <w:p w14:paraId="3A18D0B9" w14:textId="77777777" w:rsidR="00313758" w:rsidRDefault="00313758" w:rsidP="00313758">
      <w:pPr>
        <w:rPr>
          <w:lang w:val="en-US"/>
        </w:rPr>
      </w:pPr>
      <w:r>
        <w:rPr>
          <w:lang w:val="en-US"/>
        </w:rPr>
        <w:t xml:space="preserve">Fashion can also be protected by other intellectual property protections and </w:t>
      </w:r>
      <w:r w:rsidRPr="005E56CD">
        <w:rPr>
          <w:lang w:val="en-US"/>
        </w:rPr>
        <w:t>EU intellectual property law prevents the coexistence of several forms of legal protection</w:t>
      </w:r>
      <w:r>
        <w:rPr>
          <w:lang w:val="en-US"/>
        </w:rPr>
        <w:t>.</w:t>
      </w:r>
      <w:r>
        <w:rPr>
          <w:rStyle w:val="FootnoteReference"/>
          <w:lang w:val="en-US"/>
        </w:rPr>
        <w:footnoteReference w:id="125"/>
      </w:r>
      <w:r>
        <w:rPr>
          <w:lang w:val="en-US"/>
        </w:rPr>
        <w:t xml:space="preserve"> </w:t>
      </w:r>
      <w:r w:rsidRPr="00B31EC4">
        <w:rPr>
          <w:lang w:val="en-US"/>
        </w:rPr>
        <w:t xml:space="preserve">Fashion can be protected by copyright as a work of applied art. </w:t>
      </w:r>
      <w:r>
        <w:rPr>
          <w:lang w:val="en-US"/>
        </w:rPr>
        <w:t>Probably</w:t>
      </w:r>
      <w:r w:rsidRPr="00B31EC4">
        <w:rPr>
          <w:lang w:val="en-US"/>
        </w:rPr>
        <w:t xml:space="preserve"> not an ordinary t-shirt, but </w:t>
      </w:r>
      <w:proofErr w:type="gramStart"/>
      <w:r w:rsidRPr="00B31EC4">
        <w:rPr>
          <w:lang w:val="en-US"/>
        </w:rPr>
        <w:t>definitely haute</w:t>
      </w:r>
      <w:proofErr w:type="gramEnd"/>
      <w:r w:rsidRPr="00B31EC4">
        <w:rPr>
          <w:lang w:val="en-US"/>
        </w:rPr>
        <w:t xml:space="preserve"> couture. </w:t>
      </w:r>
      <w:r>
        <w:rPr>
          <w:lang w:val="en-US"/>
        </w:rPr>
        <w:t>F</w:t>
      </w:r>
      <w:r w:rsidRPr="00B31EC4">
        <w:rPr>
          <w:lang w:val="en-US"/>
        </w:rPr>
        <w:t>ashion that falls between these two categories</w:t>
      </w:r>
      <w:r>
        <w:rPr>
          <w:lang w:val="en-US"/>
        </w:rPr>
        <w:t xml:space="preserve"> can be protected if the subject matter is a work and the work meets the originality requirement.</w:t>
      </w:r>
      <w:r w:rsidRPr="00B31EC4">
        <w:rPr>
          <w:lang w:val="en-US"/>
        </w:rPr>
        <w:t xml:space="preserve"> To be a work, two cumulative conditions must be satisfied. First, the subject matter concerned must be original in the sense that it is the author’s own intellectual creation</w:t>
      </w:r>
      <w:r>
        <w:rPr>
          <w:lang w:val="en-US"/>
        </w:rPr>
        <w:t xml:space="preserve">. </w:t>
      </w:r>
      <w:r>
        <w:rPr>
          <w:rStyle w:val="FootnoteReference"/>
          <w:lang w:val="en-US"/>
        </w:rPr>
        <w:footnoteReference w:id="126"/>
      </w:r>
      <w:r w:rsidRPr="00C35540">
        <w:rPr>
          <w:lang w:val="en-US"/>
        </w:rPr>
        <w:t xml:space="preserve"> </w:t>
      </w:r>
      <w:r>
        <w:rPr>
          <w:lang w:val="en-US"/>
        </w:rPr>
        <w:t xml:space="preserve">That means that the creator </w:t>
      </w:r>
      <w:r w:rsidRPr="00C35540">
        <w:rPr>
          <w:lang w:val="en-US"/>
        </w:rPr>
        <w:t xml:space="preserve">must have been able </w:t>
      </w:r>
      <w:r>
        <w:rPr>
          <w:lang w:val="en-US"/>
        </w:rPr>
        <w:t>to express his or her creative abilities by making</w:t>
      </w:r>
      <w:r w:rsidRPr="00C35540">
        <w:rPr>
          <w:lang w:val="en-US"/>
        </w:rPr>
        <w:t xml:space="preserve"> free and creative choices</w:t>
      </w:r>
      <w:r>
        <w:rPr>
          <w:lang w:val="en-US"/>
        </w:rPr>
        <w:t>.</w:t>
      </w:r>
      <w:r>
        <w:rPr>
          <w:rStyle w:val="FootnoteReference"/>
          <w:lang w:val="en-US"/>
        </w:rPr>
        <w:footnoteReference w:id="127"/>
      </w:r>
      <w:r w:rsidRPr="00C35540">
        <w:rPr>
          <w:lang w:val="en-US"/>
        </w:rPr>
        <w:t xml:space="preserve"> </w:t>
      </w:r>
      <w:r>
        <w:rPr>
          <w:lang w:val="en-US"/>
        </w:rPr>
        <w:t>By making these different choices the work will have a</w:t>
      </w:r>
      <w:r w:rsidRPr="00C35540">
        <w:rPr>
          <w:lang w:val="en-US"/>
        </w:rPr>
        <w:t xml:space="preserve"> ‘personal touch’</w:t>
      </w:r>
      <w:r>
        <w:rPr>
          <w:lang w:val="en-US"/>
        </w:rPr>
        <w:t xml:space="preserve"> and </w:t>
      </w:r>
      <w:r w:rsidRPr="00C35540">
        <w:rPr>
          <w:lang w:val="en-US"/>
        </w:rPr>
        <w:t>reflect the author’s personality.</w:t>
      </w:r>
      <w:r>
        <w:rPr>
          <w:rStyle w:val="FootnoteReference"/>
          <w:lang w:val="en-US"/>
        </w:rPr>
        <w:footnoteReference w:id="128"/>
      </w:r>
      <w:r>
        <w:rPr>
          <w:lang w:val="en-US"/>
        </w:rPr>
        <w:t xml:space="preserve"> </w:t>
      </w:r>
      <w:r w:rsidRPr="009B75C9">
        <w:rPr>
          <w:lang w:val="en-US"/>
        </w:rPr>
        <w:t>Second, only something which is the expression of the author’s own intellectual creation may be classified as a ‘work’</w:t>
      </w:r>
      <w:r>
        <w:rPr>
          <w:lang w:val="en-US"/>
        </w:rPr>
        <w:t>.</w:t>
      </w:r>
      <w:r>
        <w:rPr>
          <w:rStyle w:val="FootnoteReference"/>
          <w:lang w:val="en-US"/>
        </w:rPr>
        <w:footnoteReference w:id="129"/>
      </w:r>
      <w:r>
        <w:rPr>
          <w:lang w:val="en-US"/>
        </w:rPr>
        <w:t xml:space="preserve"> The subject matter </w:t>
      </w:r>
      <w:r w:rsidRPr="00C35540">
        <w:rPr>
          <w:lang w:val="en-US"/>
        </w:rPr>
        <w:t>must</w:t>
      </w:r>
      <w:r>
        <w:rPr>
          <w:lang w:val="en-US"/>
        </w:rPr>
        <w:t xml:space="preserve"> also</w:t>
      </w:r>
      <w:r w:rsidRPr="00C35540">
        <w:rPr>
          <w:lang w:val="en-US"/>
        </w:rPr>
        <w:t xml:space="preserve"> be expressed in </w:t>
      </w:r>
      <w:r>
        <w:rPr>
          <w:lang w:val="en-US"/>
        </w:rPr>
        <w:t>“</w:t>
      </w:r>
      <w:r w:rsidRPr="00C35540">
        <w:rPr>
          <w:lang w:val="en-US"/>
        </w:rPr>
        <w:t>a manner which makes it identifiable with sufficient precision and objectivity, even though that expression is not necessarily in permanent form</w:t>
      </w:r>
      <w:r>
        <w:rPr>
          <w:lang w:val="en-US"/>
        </w:rPr>
        <w:t>”</w:t>
      </w:r>
      <w:r w:rsidRPr="00C35540">
        <w:rPr>
          <w:lang w:val="en-US"/>
        </w:rPr>
        <w:t>.</w:t>
      </w:r>
      <w:r>
        <w:rPr>
          <w:rStyle w:val="FootnoteReference"/>
          <w:lang w:val="en-US"/>
        </w:rPr>
        <w:footnoteReference w:id="130"/>
      </w:r>
      <w:r>
        <w:rPr>
          <w:lang w:val="en-US"/>
        </w:rPr>
        <w:t xml:space="preserve"> </w:t>
      </w:r>
      <w:r w:rsidRPr="00F44088">
        <w:rPr>
          <w:lang w:val="en-US"/>
        </w:rPr>
        <w:t>When creating fashion pieces, it will not be unusual that technical considerations or constraints dictate the creation, as the fashion piece must fit the body</w:t>
      </w:r>
      <w:r>
        <w:rPr>
          <w:lang w:val="en-US"/>
        </w:rPr>
        <w:t xml:space="preserve">. </w:t>
      </w:r>
      <w:r w:rsidRPr="00F44088">
        <w:rPr>
          <w:lang w:val="en-US"/>
        </w:rPr>
        <w:t>If</w:t>
      </w:r>
      <w:r>
        <w:rPr>
          <w:lang w:val="en-US"/>
        </w:rPr>
        <w:t xml:space="preserve"> the shape of the garment </w:t>
      </w:r>
      <w:r w:rsidRPr="00F44088">
        <w:rPr>
          <w:lang w:val="en-US"/>
        </w:rPr>
        <w:t>is solely dictated by its technical function</w:t>
      </w:r>
      <w:r>
        <w:rPr>
          <w:lang w:val="en-US"/>
        </w:rPr>
        <w:t xml:space="preserve"> and there has not been “any</w:t>
      </w:r>
      <w:r w:rsidRPr="00F44088">
        <w:rPr>
          <w:lang w:val="en-US"/>
        </w:rPr>
        <w:t xml:space="preserve"> room for creative freedom or </w:t>
      </w:r>
      <w:r>
        <w:rPr>
          <w:lang w:val="en-US"/>
        </w:rPr>
        <w:t xml:space="preserve">the </w:t>
      </w:r>
      <w:r w:rsidRPr="00F44088">
        <w:rPr>
          <w:lang w:val="en-US"/>
        </w:rPr>
        <w:t xml:space="preserve">room </w:t>
      </w:r>
      <w:r>
        <w:rPr>
          <w:lang w:val="en-US"/>
        </w:rPr>
        <w:t xml:space="preserve">was </w:t>
      </w:r>
      <w:r w:rsidRPr="00F44088">
        <w:rPr>
          <w:lang w:val="en-US"/>
        </w:rPr>
        <w:t xml:space="preserve">so limited that the idea and its expression become indissociable that </w:t>
      </w:r>
      <w:r>
        <w:rPr>
          <w:lang w:val="en-US"/>
        </w:rPr>
        <w:t>garment</w:t>
      </w:r>
      <w:r w:rsidRPr="00F44088">
        <w:rPr>
          <w:lang w:val="en-US"/>
        </w:rPr>
        <w:t xml:space="preserve"> cannot be </w:t>
      </w:r>
      <w:r>
        <w:rPr>
          <w:lang w:val="en-US"/>
        </w:rPr>
        <w:t>protected</w:t>
      </w:r>
      <w:r w:rsidRPr="00F44088">
        <w:rPr>
          <w:lang w:val="en-US"/>
        </w:rPr>
        <w:t xml:space="preserve"> by copyright</w:t>
      </w:r>
      <w:r>
        <w:rPr>
          <w:lang w:val="en-US"/>
        </w:rPr>
        <w:t>”.</w:t>
      </w:r>
      <w:r>
        <w:rPr>
          <w:rStyle w:val="FootnoteReference"/>
          <w:lang w:val="en-US"/>
        </w:rPr>
        <w:footnoteReference w:id="131"/>
      </w:r>
      <w:r>
        <w:rPr>
          <w:lang w:val="en-US"/>
        </w:rPr>
        <w:t xml:space="preserve"> </w:t>
      </w:r>
    </w:p>
    <w:p w14:paraId="650C1237" w14:textId="77777777" w:rsidR="00313758" w:rsidRPr="00133A28" w:rsidRDefault="00313758" w:rsidP="00313758">
      <w:pPr>
        <w:rPr>
          <w:lang w:val="en-US"/>
        </w:rPr>
      </w:pPr>
      <w:r w:rsidRPr="00FB31A2">
        <w:rPr>
          <w:lang w:val="en-US"/>
        </w:rPr>
        <w:t xml:space="preserve">A patent is probably not the first thing one would </w:t>
      </w:r>
      <w:r>
        <w:rPr>
          <w:lang w:val="en-US"/>
        </w:rPr>
        <w:t>consider</w:t>
      </w:r>
      <w:r w:rsidRPr="00FB31A2">
        <w:rPr>
          <w:lang w:val="en-US"/>
        </w:rPr>
        <w:t xml:space="preserve"> when protecting fashion. However, technical innovations (for example, new fabrics/textiles) can attract consumers and business partners. </w:t>
      </w:r>
      <w:r>
        <w:rPr>
          <w:lang w:val="en-US"/>
        </w:rPr>
        <w:t xml:space="preserve">Inventions are the solution to a technical problem. As an example of </w:t>
      </w:r>
      <w:r w:rsidRPr="00FB31A2">
        <w:rPr>
          <w:lang w:val="en-US"/>
        </w:rPr>
        <w:t>invention in the fashion industry</w:t>
      </w:r>
      <w:r>
        <w:rPr>
          <w:lang w:val="en-US"/>
        </w:rPr>
        <w:t>, the</w:t>
      </w:r>
      <w:r w:rsidRPr="00FB31A2">
        <w:rPr>
          <w:lang w:val="en-US"/>
        </w:rPr>
        <w:t xml:space="preserve"> Swedish compan</w:t>
      </w:r>
      <w:r>
        <w:rPr>
          <w:lang w:val="en-US"/>
        </w:rPr>
        <w:t>y</w:t>
      </w:r>
      <w:r w:rsidRPr="00FB31A2">
        <w:rPr>
          <w:lang w:val="en-US"/>
        </w:rPr>
        <w:t xml:space="preserve"> </w:t>
      </w:r>
      <w:r>
        <w:rPr>
          <w:lang w:val="en-US"/>
        </w:rPr>
        <w:t>BOOB</w:t>
      </w:r>
      <w:r w:rsidRPr="00FB31A2">
        <w:rPr>
          <w:lang w:val="en-US"/>
        </w:rPr>
        <w:t>’s patented nursing collection</w:t>
      </w:r>
      <w:r>
        <w:rPr>
          <w:rStyle w:val="FootnoteReference"/>
          <w:lang w:val="en-US"/>
        </w:rPr>
        <w:footnoteReference w:id="132"/>
      </w:r>
      <w:r w:rsidRPr="00FB31A2">
        <w:rPr>
          <w:lang w:val="en-US"/>
        </w:rPr>
        <w:t xml:space="preserve"> </w:t>
      </w:r>
      <w:r>
        <w:rPr>
          <w:lang w:val="en-US"/>
        </w:rPr>
        <w:t xml:space="preserve">can be mentioned as well as the Spanish entrepreneur </w:t>
      </w:r>
      <w:proofErr w:type="spellStart"/>
      <w:r>
        <w:rPr>
          <w:lang w:val="en-US"/>
        </w:rPr>
        <w:t>Hijosa</w:t>
      </w:r>
      <w:proofErr w:type="spellEnd"/>
      <w:r>
        <w:rPr>
          <w:lang w:val="en-US"/>
        </w:rPr>
        <w:t xml:space="preserve"> </w:t>
      </w:r>
      <w:r w:rsidRPr="00FB31A2">
        <w:rPr>
          <w:lang w:val="en-US"/>
        </w:rPr>
        <w:t xml:space="preserve">who developed </w:t>
      </w:r>
      <w:proofErr w:type="spellStart"/>
      <w:r w:rsidRPr="00A62C02">
        <w:rPr>
          <w:lang w:val="en-US"/>
        </w:rPr>
        <w:t>Piñatex</w:t>
      </w:r>
      <w:proofErr w:type="spellEnd"/>
      <w:r w:rsidRPr="00A62C02">
        <w:rPr>
          <w:lang w:val="en-US"/>
        </w:rPr>
        <w:t>®, a patented alternative to leather</w:t>
      </w:r>
      <w:r>
        <w:rPr>
          <w:lang w:val="en-US"/>
        </w:rPr>
        <w:t xml:space="preserve"> </w:t>
      </w:r>
      <w:r w:rsidRPr="00FB31A2">
        <w:rPr>
          <w:lang w:val="en-US"/>
        </w:rPr>
        <w:t>made from pineapple leaf fiber</w:t>
      </w:r>
      <w:r>
        <w:rPr>
          <w:lang w:val="en-US"/>
        </w:rPr>
        <w:t xml:space="preserve">s. </w:t>
      </w:r>
      <w:proofErr w:type="spellStart"/>
      <w:r w:rsidRPr="00A62C02">
        <w:rPr>
          <w:lang w:val="en-US"/>
        </w:rPr>
        <w:t>Hijosa's</w:t>
      </w:r>
      <w:proofErr w:type="spellEnd"/>
      <w:r w:rsidRPr="00A62C02">
        <w:rPr>
          <w:lang w:val="en-US"/>
        </w:rPr>
        <w:t xml:space="preserve"> patented textile was commercialized through Ananas Anam</w:t>
      </w:r>
      <w:r>
        <w:rPr>
          <w:lang w:val="en-US"/>
        </w:rPr>
        <w:t>.</w:t>
      </w:r>
      <w:r>
        <w:rPr>
          <w:rStyle w:val="FootnoteReference"/>
          <w:lang w:val="en-US"/>
        </w:rPr>
        <w:footnoteReference w:id="133"/>
      </w:r>
      <w:r>
        <w:rPr>
          <w:lang w:val="en-US"/>
        </w:rPr>
        <w:t xml:space="preserve"> The requirements to obtain a patent for an invention are</w:t>
      </w:r>
      <w:r w:rsidRPr="005D6498">
        <w:rPr>
          <w:lang w:val="en-US"/>
        </w:rPr>
        <w:t xml:space="preserve"> n</w:t>
      </w:r>
      <w:r>
        <w:rPr>
          <w:lang w:val="en-US"/>
        </w:rPr>
        <w:t>ovelty</w:t>
      </w:r>
      <w:r w:rsidRPr="005D6498">
        <w:rPr>
          <w:lang w:val="en-US"/>
        </w:rPr>
        <w:t>, inventive step</w:t>
      </w:r>
      <w:r>
        <w:rPr>
          <w:lang w:val="en-US"/>
        </w:rPr>
        <w:t>,</w:t>
      </w:r>
      <w:r w:rsidRPr="005D6498">
        <w:rPr>
          <w:lang w:val="en-US"/>
        </w:rPr>
        <w:t xml:space="preserve"> and </w:t>
      </w:r>
      <w:r w:rsidRPr="005D6498">
        <w:rPr>
          <w:lang w:val="en-US"/>
        </w:rPr>
        <w:lastRenderedPageBreak/>
        <w:t>industrial application.</w:t>
      </w:r>
      <w:r>
        <w:rPr>
          <w:rStyle w:val="FootnoteReference"/>
          <w:lang w:val="en-US"/>
        </w:rPr>
        <w:footnoteReference w:id="134"/>
      </w:r>
      <w:r>
        <w:rPr>
          <w:lang w:val="en-US"/>
        </w:rPr>
        <w:t xml:space="preserve"> However, it should be noted that </w:t>
      </w:r>
      <w:r w:rsidRPr="00133A28">
        <w:rPr>
          <w:lang w:val="en-US"/>
        </w:rPr>
        <w:t xml:space="preserve">aesthetic creations </w:t>
      </w:r>
      <w:r>
        <w:rPr>
          <w:lang w:val="en-US"/>
        </w:rPr>
        <w:t>are not</w:t>
      </w:r>
      <w:r w:rsidRPr="00133A28">
        <w:rPr>
          <w:lang w:val="en-US"/>
        </w:rPr>
        <w:t xml:space="preserve"> regarded as inventions</w:t>
      </w:r>
      <w:r>
        <w:rPr>
          <w:lang w:val="en-US"/>
        </w:rPr>
        <w:t>.</w:t>
      </w:r>
      <w:r>
        <w:rPr>
          <w:rStyle w:val="FootnoteReference"/>
          <w:lang w:val="en-US"/>
        </w:rPr>
        <w:footnoteReference w:id="135"/>
      </w:r>
    </w:p>
    <w:p w14:paraId="1B23A618" w14:textId="77777777" w:rsidR="00313758" w:rsidRDefault="00313758" w:rsidP="00313758">
      <w:pPr>
        <w:rPr>
          <w:lang w:val="en-US"/>
        </w:rPr>
      </w:pPr>
      <w:r>
        <w:rPr>
          <w:lang w:val="en-US"/>
        </w:rPr>
        <w:t>Fashion can also be protected by trademark law. Trademark law protects signs. It can be “</w:t>
      </w:r>
      <w:r w:rsidRPr="006D2A76">
        <w:rPr>
          <w:lang w:val="en-US"/>
        </w:rPr>
        <w:t xml:space="preserve">words, including personal names, or designs, letters, numerals, </w:t>
      </w:r>
      <w:proofErr w:type="spellStart"/>
      <w:r w:rsidRPr="006D2A76">
        <w:rPr>
          <w:lang w:val="en-US"/>
        </w:rPr>
        <w:t>colours</w:t>
      </w:r>
      <w:proofErr w:type="spellEnd"/>
      <w:r w:rsidRPr="006D2A76">
        <w:rPr>
          <w:lang w:val="en-US"/>
        </w:rPr>
        <w:t>, the shape of goods or of the packaging of goods, or sounds, provided that such signs are capable of</w:t>
      </w:r>
      <w:r>
        <w:rPr>
          <w:lang w:val="en-US"/>
        </w:rPr>
        <w:t xml:space="preserve"> </w:t>
      </w:r>
      <w:r w:rsidRPr="006D2A76">
        <w:rPr>
          <w:lang w:val="en-US"/>
        </w:rPr>
        <w:t>distinguishing the goods or services of one undertaking from those of other undertakings</w:t>
      </w:r>
      <w:r>
        <w:rPr>
          <w:lang w:val="en-US"/>
        </w:rPr>
        <w:t xml:space="preserve">, and </w:t>
      </w:r>
      <w:r w:rsidRPr="006D2A76">
        <w:rPr>
          <w:lang w:val="en-US"/>
        </w:rPr>
        <w:t xml:space="preserve">being represented on the Register of European Union </w:t>
      </w:r>
      <w:proofErr w:type="spellStart"/>
      <w:r w:rsidRPr="006D2A76">
        <w:rPr>
          <w:lang w:val="en-US"/>
        </w:rPr>
        <w:t>trade marks</w:t>
      </w:r>
      <w:proofErr w:type="spellEnd"/>
      <w:r>
        <w:rPr>
          <w:lang w:val="en-US"/>
        </w:rPr>
        <w:t>”.</w:t>
      </w:r>
      <w:r>
        <w:rPr>
          <w:rStyle w:val="FootnoteReference"/>
          <w:lang w:val="en-US"/>
        </w:rPr>
        <w:footnoteReference w:id="136"/>
      </w:r>
      <w:r>
        <w:rPr>
          <w:lang w:val="en-US"/>
        </w:rPr>
        <w:t xml:space="preserve"> It is obvious that fashion brands can be protected as word marks or figurative marks, for example Gucci as a word mark or a swoosh for Nike. Unconventional marks are quite common in the fashion sector. Pattern mark, which are marks</w:t>
      </w:r>
      <w:r w:rsidRPr="00886191">
        <w:rPr>
          <w:lang w:val="en-US"/>
        </w:rPr>
        <w:t xml:space="preserve"> consisting exclusively of a set of elements that are repeated regularly</w:t>
      </w:r>
      <w:r>
        <w:rPr>
          <w:lang w:val="en-US"/>
        </w:rPr>
        <w:t>,</w:t>
      </w:r>
      <w:r w:rsidRPr="00886191">
        <w:rPr>
          <w:lang w:val="en-US"/>
        </w:rPr>
        <w:t xml:space="preserve"> </w:t>
      </w:r>
      <w:r>
        <w:rPr>
          <w:lang w:val="en-US"/>
        </w:rPr>
        <w:t xml:space="preserve">are often used in relation to </w:t>
      </w:r>
      <w:r w:rsidRPr="00886191">
        <w:rPr>
          <w:lang w:val="en-US"/>
        </w:rPr>
        <w:t xml:space="preserve">clothing articles, leather goods, </w:t>
      </w:r>
      <w:proofErr w:type="spellStart"/>
      <w:r w:rsidRPr="00886191">
        <w:rPr>
          <w:lang w:val="en-US"/>
        </w:rPr>
        <w:t>jewellery</w:t>
      </w:r>
      <w:proofErr w:type="spellEnd"/>
      <w:r w:rsidRPr="00886191">
        <w:rPr>
          <w:lang w:val="en-US"/>
        </w:rPr>
        <w:t>.</w:t>
      </w:r>
      <w:r>
        <w:rPr>
          <w:rStyle w:val="FootnoteReference"/>
          <w:lang w:val="en-US"/>
        </w:rPr>
        <w:footnoteReference w:id="137"/>
      </w:r>
      <w:r>
        <w:rPr>
          <w:lang w:val="en-US"/>
        </w:rPr>
        <w:t xml:space="preserve"> For example Louis </w:t>
      </w:r>
      <w:proofErr w:type="spellStart"/>
      <w:r>
        <w:rPr>
          <w:lang w:val="en-US"/>
        </w:rPr>
        <w:t>Vuittons</w:t>
      </w:r>
      <w:proofErr w:type="spellEnd"/>
      <w:r>
        <w:rPr>
          <w:lang w:val="en-US"/>
        </w:rPr>
        <w:t xml:space="preserve"> has a pattern mark for its iconic print.</w:t>
      </w:r>
      <w:r>
        <w:rPr>
          <w:rStyle w:val="FootnoteReference"/>
          <w:lang w:val="en-US"/>
        </w:rPr>
        <w:footnoteReference w:id="138"/>
      </w:r>
      <w:r>
        <w:rPr>
          <w:lang w:val="en-US"/>
        </w:rPr>
        <w:t xml:space="preserve"> </w:t>
      </w:r>
    </w:p>
    <w:p w14:paraId="41A79F97" w14:textId="77777777" w:rsidR="00313758" w:rsidRDefault="00313758" w:rsidP="00313758">
      <w:pPr>
        <w:rPr>
          <w:lang w:val="en-US"/>
        </w:rPr>
      </w:pPr>
      <w:r>
        <w:rPr>
          <w:lang w:val="en-US"/>
        </w:rPr>
        <w:t>S</w:t>
      </w:r>
      <w:r w:rsidRPr="00575FAA">
        <w:rPr>
          <w:lang w:val="en-US"/>
        </w:rPr>
        <w:t xml:space="preserve">igns which consist exclusively of the </w:t>
      </w:r>
      <w:proofErr w:type="spellStart"/>
      <w:proofErr w:type="gramStart"/>
      <w:r>
        <w:rPr>
          <w:lang w:val="en-US"/>
        </w:rPr>
        <w:t>i</w:t>
      </w:r>
      <w:proofErr w:type="spellEnd"/>
      <w:r>
        <w:rPr>
          <w:lang w:val="en-US"/>
        </w:rPr>
        <w:t>)</w:t>
      </w:r>
      <w:r w:rsidRPr="00575FAA">
        <w:rPr>
          <w:lang w:val="en-US"/>
        </w:rPr>
        <w:t>shape</w:t>
      </w:r>
      <w:proofErr w:type="gramEnd"/>
      <w:r w:rsidRPr="00575FAA">
        <w:rPr>
          <w:lang w:val="en-US"/>
        </w:rPr>
        <w:t xml:space="preserve"> which results from the nature of the goods themselves, or </w:t>
      </w:r>
      <w:r>
        <w:rPr>
          <w:lang w:val="en-US"/>
        </w:rPr>
        <w:t xml:space="preserve">ii) </w:t>
      </w:r>
      <w:r w:rsidRPr="00575FAA">
        <w:rPr>
          <w:lang w:val="en-US"/>
        </w:rPr>
        <w:t xml:space="preserve">the shape of the goods which is necessary to obtain a technical result, or </w:t>
      </w:r>
      <w:r>
        <w:rPr>
          <w:lang w:val="en-US"/>
        </w:rPr>
        <w:t xml:space="preserve">iii) </w:t>
      </w:r>
      <w:r w:rsidRPr="00575FAA">
        <w:rPr>
          <w:lang w:val="en-US"/>
        </w:rPr>
        <w:t>the shape which gives substantial value to the goods cannot be registered or if registered are liable to be declared invalid</w:t>
      </w:r>
      <w:r w:rsidRPr="00576293">
        <w:rPr>
          <w:lang w:val="en-US"/>
        </w:rPr>
        <w:t>.</w:t>
      </w:r>
      <w:r>
        <w:rPr>
          <w:rStyle w:val="FootnoteReference"/>
          <w:lang w:val="en-US"/>
        </w:rPr>
        <w:footnoteReference w:id="139"/>
      </w:r>
      <w:r>
        <w:rPr>
          <w:lang w:val="en-US"/>
        </w:rPr>
        <w:t xml:space="preserve"> </w:t>
      </w:r>
    </w:p>
    <w:p w14:paraId="56A23886" w14:textId="77777777" w:rsidR="00313758" w:rsidRDefault="00313758" w:rsidP="00313758">
      <w:pPr>
        <w:rPr>
          <w:lang w:val="en-US"/>
        </w:rPr>
      </w:pPr>
      <w:r>
        <w:rPr>
          <w:lang w:val="en-US"/>
        </w:rPr>
        <w:t>The</w:t>
      </w:r>
      <w:r w:rsidRPr="005E56CD">
        <w:rPr>
          <w:lang w:val="en-US"/>
        </w:rPr>
        <w:t xml:space="preserve"> objective of the ground for refusal of registration provided for in</w:t>
      </w:r>
      <w:r>
        <w:rPr>
          <w:lang w:val="en-US"/>
        </w:rPr>
        <w:t xml:space="preserve"> </w:t>
      </w:r>
      <w:r w:rsidRPr="005E56CD">
        <w:rPr>
          <w:lang w:val="en-US"/>
        </w:rPr>
        <w:t xml:space="preserve">(ii) </w:t>
      </w:r>
      <w:r>
        <w:rPr>
          <w:lang w:val="en-US"/>
        </w:rPr>
        <w:t xml:space="preserve">and </w:t>
      </w:r>
      <w:r w:rsidRPr="005E56CD">
        <w:rPr>
          <w:lang w:val="en-US"/>
        </w:rPr>
        <w:t>(iii) is</w:t>
      </w:r>
      <w:r>
        <w:rPr>
          <w:lang w:val="en-US"/>
        </w:rPr>
        <w:t xml:space="preserve"> intended</w:t>
      </w:r>
      <w:r w:rsidRPr="005E56CD">
        <w:rPr>
          <w:lang w:val="en-US"/>
        </w:rPr>
        <w:t xml:space="preserve"> to prevent the exclusive and permanent right that a </w:t>
      </w:r>
      <w:proofErr w:type="gramStart"/>
      <w:r w:rsidRPr="005E56CD">
        <w:rPr>
          <w:lang w:val="en-US"/>
        </w:rPr>
        <w:t>trade mark</w:t>
      </w:r>
      <w:proofErr w:type="gramEnd"/>
      <w:r w:rsidRPr="005E56CD">
        <w:rPr>
          <w:lang w:val="en-US"/>
        </w:rPr>
        <w:t xml:space="preserve"> confers from serving to extend indefinitely the life of other rights in respect of which the EU legislature has sought to impose time limits.</w:t>
      </w:r>
      <w:r>
        <w:rPr>
          <w:rStyle w:val="FootnoteReference"/>
          <w:lang w:val="en-US"/>
        </w:rPr>
        <w:footnoteReference w:id="140"/>
      </w:r>
    </w:p>
    <w:p w14:paraId="285F5043" w14:textId="77777777" w:rsidR="00313758" w:rsidRDefault="00313758" w:rsidP="00313758">
      <w:pPr>
        <w:rPr>
          <w:lang w:val="en-US"/>
        </w:rPr>
      </w:pPr>
      <w:r>
        <w:rPr>
          <w:lang w:val="en-US"/>
        </w:rPr>
        <w:t>The</w:t>
      </w:r>
      <w:r w:rsidRPr="004E1795">
        <w:rPr>
          <w:lang w:val="en-US"/>
        </w:rPr>
        <w:t xml:space="preserve"> sign is unregistrable if it is established that the essential functional features of that shape are attributable only to the technical result.</w:t>
      </w:r>
      <w:r>
        <w:rPr>
          <w:lang w:val="en-US"/>
        </w:rPr>
        <w:t xml:space="preserve"> </w:t>
      </w:r>
      <w:r w:rsidRPr="007905B0">
        <w:rPr>
          <w:lang w:val="en-US"/>
        </w:rPr>
        <w:t xml:space="preserve">The fact that there may be alternative shapes, with another design, capable of achieving the same technical result does not in itself mean that this provision </w:t>
      </w:r>
      <w:r>
        <w:rPr>
          <w:lang w:val="en-US"/>
        </w:rPr>
        <w:t>is not applicable.</w:t>
      </w:r>
      <w:r>
        <w:rPr>
          <w:rStyle w:val="FootnoteReference"/>
          <w:lang w:val="en-US"/>
        </w:rPr>
        <w:footnoteReference w:id="141"/>
      </w:r>
      <w:r>
        <w:rPr>
          <w:lang w:val="en-US"/>
        </w:rPr>
        <w:t xml:space="preserve"> </w:t>
      </w:r>
    </w:p>
    <w:p w14:paraId="6B96DD2C" w14:textId="77777777" w:rsidR="00313758" w:rsidRDefault="00313758" w:rsidP="00313758">
      <w:pPr>
        <w:rPr>
          <w:lang w:val="en-US"/>
        </w:rPr>
      </w:pPr>
      <w:r>
        <w:rPr>
          <w:lang w:val="en-US"/>
        </w:rPr>
        <w:t xml:space="preserve">However, it follows from the </w:t>
      </w:r>
      <w:proofErr w:type="spellStart"/>
      <w:r w:rsidRPr="00D34088">
        <w:rPr>
          <w:i/>
          <w:iCs/>
          <w:lang w:val="en-US"/>
        </w:rPr>
        <w:t>Gömböc</w:t>
      </w:r>
      <w:proofErr w:type="spellEnd"/>
      <w:r w:rsidRPr="00D34088">
        <w:rPr>
          <w:i/>
          <w:iCs/>
          <w:lang w:val="en-US"/>
        </w:rPr>
        <w:t xml:space="preserve"> </w:t>
      </w:r>
      <w:r>
        <w:rPr>
          <w:lang w:val="en-US"/>
        </w:rPr>
        <w:t xml:space="preserve">case that this </w:t>
      </w:r>
      <w:r w:rsidRPr="00D34088">
        <w:rPr>
          <w:lang w:val="en-US"/>
        </w:rPr>
        <w:t xml:space="preserve">ground for refusal of registration must not be applied systematically to a sign </w:t>
      </w:r>
      <w:r>
        <w:rPr>
          <w:lang w:val="en-US"/>
        </w:rPr>
        <w:t>protected by design law</w:t>
      </w:r>
      <w:r w:rsidRPr="00D34088">
        <w:rPr>
          <w:lang w:val="en-US"/>
        </w:rPr>
        <w:t xml:space="preserve"> or where the sign consists exclusively of the shape of a decorative item.</w:t>
      </w:r>
      <w:r>
        <w:rPr>
          <w:rStyle w:val="FootnoteReference"/>
          <w:lang w:val="en-US"/>
        </w:rPr>
        <w:footnoteReference w:id="142"/>
      </w:r>
    </w:p>
    <w:p w14:paraId="15AFE217" w14:textId="77777777" w:rsidR="00313758" w:rsidRDefault="00313758" w:rsidP="00313758">
      <w:pPr>
        <w:rPr>
          <w:lang w:val="en-US"/>
        </w:rPr>
      </w:pPr>
    </w:p>
    <w:p w14:paraId="17813EA3" w14:textId="77777777" w:rsidR="00313758" w:rsidRPr="005E56CD" w:rsidRDefault="00313758" w:rsidP="00313758">
      <w:pPr>
        <w:rPr>
          <w:lang w:val="en-US"/>
        </w:rPr>
      </w:pPr>
    </w:p>
    <w:p w14:paraId="1AF44DDD" w14:textId="77777777" w:rsidR="00313758" w:rsidRPr="005E56CD" w:rsidRDefault="00313758" w:rsidP="00313758">
      <w:pPr>
        <w:rPr>
          <w:lang w:val="en-US"/>
        </w:rPr>
      </w:pPr>
    </w:p>
    <w:p w14:paraId="68111EEF" w14:textId="77777777" w:rsidR="00C62C0F" w:rsidRPr="001627EE" w:rsidRDefault="00C62C0F" w:rsidP="001627EE">
      <w:pPr>
        <w:jc w:val="both"/>
        <w:rPr>
          <w:rFonts w:cstheme="minorHAnsi"/>
          <w:sz w:val="24"/>
          <w:szCs w:val="24"/>
        </w:rPr>
      </w:pPr>
    </w:p>
    <w:sectPr w:rsidR="00C62C0F" w:rsidRPr="001627EE">
      <w:footerReference w:type="even" r:id="rId18"/>
      <w:foot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na Beldiman" w:date="2023-12-09T06:33:00Z" w:initials="DB">
    <w:p w14:paraId="10549A28" w14:textId="77777777" w:rsidR="00CD075F" w:rsidRDefault="00CD075F" w:rsidP="00FC72BE">
      <w:r>
        <w:rPr>
          <w:rStyle w:val="CommentReference"/>
        </w:rPr>
        <w:annotationRef/>
      </w:r>
      <w:r>
        <w:rPr>
          <w:color w:val="000000"/>
          <w:sz w:val="20"/>
          <w:szCs w:val="20"/>
        </w:rPr>
        <w:t>Recommend citations for all treaties</w:t>
      </w:r>
    </w:p>
  </w:comment>
  <w:comment w:id="5" w:author="Dana Beldiman" w:date="2023-12-09T06:47:00Z" w:initials="DB">
    <w:p w14:paraId="2252E056" w14:textId="77777777" w:rsidR="00CD075F" w:rsidRDefault="00CD075F" w:rsidP="00A128A1">
      <w:r>
        <w:rPr>
          <w:rStyle w:val="CommentReference"/>
        </w:rPr>
        <w:annotationRef/>
      </w:r>
      <w:r>
        <w:rPr>
          <w:color w:val="000000"/>
          <w:sz w:val="20"/>
          <w:szCs w:val="20"/>
        </w:rPr>
        <w:t>Pls rephrase. Something seems to be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549A28" w15:done="0"/>
  <w15:commentEx w15:paraId="2252E0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D66295" w16cex:dateUtc="2023-12-09T14:33:00Z"/>
  <w16cex:commentExtensible w16cex:durableId="0804C405" w16cex:dateUtc="2023-12-09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549A28" w16cid:durableId="16D66295"/>
  <w16cid:commentId w16cid:paraId="2252E056" w16cid:durableId="0804C4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F31C" w14:textId="77777777" w:rsidR="00F84DA3" w:rsidRDefault="00F84DA3" w:rsidP="00A73702">
      <w:pPr>
        <w:spacing w:after="0" w:line="240" w:lineRule="auto"/>
      </w:pPr>
      <w:r>
        <w:separator/>
      </w:r>
    </w:p>
  </w:endnote>
  <w:endnote w:type="continuationSeparator" w:id="0">
    <w:p w14:paraId="0F04095D" w14:textId="77777777" w:rsidR="00F84DA3" w:rsidRDefault="00F84DA3" w:rsidP="00A73702">
      <w:pPr>
        <w:spacing w:after="0" w:line="240" w:lineRule="auto"/>
      </w:pPr>
      <w:r>
        <w:continuationSeparator/>
      </w:r>
    </w:p>
  </w:endnote>
  <w:endnote w:id="1">
    <w:p w14:paraId="3329A501" w14:textId="77777777" w:rsidR="00E759C0" w:rsidRDefault="00E759C0" w:rsidP="00E759C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0758983"/>
      <w:docPartObj>
        <w:docPartGallery w:val="Page Numbers (Bottom of Page)"/>
        <w:docPartUnique/>
      </w:docPartObj>
    </w:sdtPr>
    <w:sdtEndPr>
      <w:rPr>
        <w:rStyle w:val="PageNumber"/>
      </w:rPr>
    </w:sdtEndPr>
    <w:sdtContent>
      <w:p w14:paraId="3634D86F" w14:textId="1032406A" w:rsidR="00CD075F" w:rsidRDefault="00CD075F" w:rsidP="00C539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2B38F5" w14:textId="77777777" w:rsidR="00CD075F" w:rsidRDefault="00CD075F" w:rsidP="00873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4002684"/>
      <w:docPartObj>
        <w:docPartGallery w:val="Page Numbers (Bottom of Page)"/>
        <w:docPartUnique/>
      </w:docPartObj>
    </w:sdtPr>
    <w:sdtEndPr>
      <w:rPr>
        <w:rStyle w:val="PageNumber"/>
      </w:rPr>
    </w:sdtEndPr>
    <w:sdtContent>
      <w:p w14:paraId="6DB900F6" w14:textId="0C0DC2FA" w:rsidR="00CD075F" w:rsidRDefault="00CD075F" w:rsidP="00C539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A4E383" w14:textId="77777777" w:rsidR="00CD075F" w:rsidRDefault="00CD075F" w:rsidP="00873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8FA8" w14:textId="77777777" w:rsidR="00F84DA3" w:rsidRDefault="00F84DA3" w:rsidP="00A73702">
      <w:pPr>
        <w:spacing w:after="0" w:line="240" w:lineRule="auto"/>
      </w:pPr>
      <w:r>
        <w:separator/>
      </w:r>
    </w:p>
  </w:footnote>
  <w:footnote w:type="continuationSeparator" w:id="0">
    <w:p w14:paraId="65F645CD" w14:textId="77777777" w:rsidR="00F84DA3" w:rsidRDefault="00F84DA3" w:rsidP="00A73702">
      <w:pPr>
        <w:spacing w:after="0" w:line="240" w:lineRule="auto"/>
      </w:pPr>
      <w:r>
        <w:continuationSeparator/>
      </w:r>
    </w:p>
  </w:footnote>
  <w:footnote w:id="1">
    <w:p w14:paraId="18BE79C7" w14:textId="22C23712" w:rsidR="000A59C1" w:rsidRPr="006B535A" w:rsidRDefault="000A59C1" w:rsidP="000A59C1">
      <w:pPr>
        <w:pStyle w:val="FootnoteText"/>
        <w:rPr>
          <w:rFonts w:cstheme="minorHAnsi"/>
          <w:lang w:val="en"/>
        </w:rPr>
      </w:pPr>
      <w:r w:rsidRPr="006B535A">
        <w:rPr>
          <w:rStyle w:val="FootnoteReference"/>
          <w:rFonts w:cstheme="minorHAnsi"/>
        </w:rPr>
        <w:footnoteRef/>
      </w:r>
      <w:r w:rsidRPr="006B535A">
        <w:rPr>
          <w:rFonts w:cstheme="minorHAnsi"/>
          <w:lang w:val="en"/>
        </w:rPr>
        <w:t xml:space="preserve"> Global Fashion Industry Statistics – International Apparel, see </w:t>
      </w:r>
      <w:hyperlink r:id="rId1" w:history="1">
        <w:r w:rsidRPr="006B535A">
          <w:rPr>
            <w:rStyle w:val="Hyperlink"/>
            <w:rFonts w:cstheme="minorHAnsi"/>
            <w:lang w:val="en"/>
          </w:rPr>
          <w:t>https://fashionunited.com/global-fashion-industry-statistics</w:t>
        </w:r>
      </w:hyperlink>
      <w:r w:rsidR="00CA759B">
        <w:rPr>
          <w:rStyle w:val="Hyperlink"/>
          <w:rFonts w:cstheme="minorHAnsi"/>
          <w:lang w:val="en"/>
        </w:rPr>
        <w:t>,</w:t>
      </w:r>
      <w:r w:rsidR="00CA759B">
        <w:rPr>
          <w:rFonts w:cstheme="minorHAnsi"/>
          <w:lang w:val="en"/>
        </w:rPr>
        <w:t xml:space="preserve"> </w:t>
      </w:r>
      <w:r w:rsidR="00CA759B" w:rsidRPr="00CA759B">
        <w:t xml:space="preserve"> </w:t>
      </w:r>
      <w:r w:rsidR="00CA759B" w:rsidRPr="00CA759B">
        <w:rPr>
          <w:rFonts w:cstheme="minorHAnsi"/>
          <w:lang w:val="en"/>
        </w:rPr>
        <w:t xml:space="preserve">accessed </w:t>
      </w:r>
      <w:r w:rsidR="00CA759B">
        <w:rPr>
          <w:rFonts w:cstheme="minorHAnsi"/>
          <w:lang w:val="en"/>
        </w:rPr>
        <w:t>16 January</w:t>
      </w:r>
      <w:r w:rsidR="00CA759B" w:rsidRPr="00CA759B">
        <w:rPr>
          <w:rFonts w:cstheme="minorHAnsi"/>
          <w:lang w:val="en"/>
        </w:rPr>
        <w:t xml:space="preserve"> 202</w:t>
      </w:r>
      <w:r w:rsidR="00CA759B">
        <w:rPr>
          <w:rFonts w:cstheme="minorHAnsi"/>
          <w:lang w:val="en"/>
        </w:rPr>
        <w:t>4.</w:t>
      </w:r>
    </w:p>
  </w:footnote>
  <w:footnote w:id="2">
    <w:p w14:paraId="5E527DFD" w14:textId="0FC76510" w:rsidR="000A59C1" w:rsidRPr="006B535A" w:rsidRDefault="000A59C1" w:rsidP="000A59C1">
      <w:pPr>
        <w:pStyle w:val="FootnoteText"/>
        <w:rPr>
          <w:rFonts w:cstheme="minorHAnsi"/>
          <w:lang w:val="en-US"/>
        </w:rPr>
      </w:pPr>
      <w:r w:rsidRPr="006B535A">
        <w:rPr>
          <w:rStyle w:val="FootnoteReference"/>
          <w:rFonts w:cstheme="minorHAnsi"/>
        </w:rPr>
        <w:footnoteRef/>
      </w:r>
      <w:r w:rsidRPr="006B535A">
        <w:rPr>
          <w:rFonts w:cstheme="minorHAnsi"/>
          <w:lang w:val="en-US"/>
        </w:rPr>
        <w:t xml:space="preserve"> Fashion and high-end industries in the EU, </w:t>
      </w:r>
      <w:hyperlink r:id="rId2" w:history="1">
        <w:r w:rsidR="00CA759B" w:rsidRPr="00285926">
          <w:rPr>
            <w:rStyle w:val="Hyperlink"/>
            <w:rFonts w:cstheme="minorHAnsi"/>
            <w:lang w:val="en-US"/>
          </w:rPr>
          <w:t>https://ec.europa.eu/growth/sectors/fashion/high-end-industries/eu_en</w:t>
        </w:r>
      </w:hyperlink>
      <w:r w:rsidR="00CA759B">
        <w:rPr>
          <w:rFonts w:cstheme="minorHAnsi"/>
          <w:lang w:val="en-US"/>
        </w:rPr>
        <w:t xml:space="preserve">, </w:t>
      </w:r>
      <w:r w:rsidR="00CA759B" w:rsidRPr="00CA759B">
        <w:t xml:space="preserve"> </w:t>
      </w:r>
      <w:r w:rsidR="00CA759B" w:rsidRPr="00CA759B">
        <w:rPr>
          <w:rFonts w:cstheme="minorHAnsi"/>
          <w:lang w:val="en-US"/>
        </w:rPr>
        <w:t xml:space="preserve">accessed </w:t>
      </w:r>
      <w:r w:rsidR="00CA759B">
        <w:rPr>
          <w:rFonts w:cstheme="minorHAnsi"/>
          <w:lang w:val="en-US"/>
        </w:rPr>
        <w:t>16January 2024.</w:t>
      </w:r>
    </w:p>
  </w:footnote>
  <w:footnote w:id="3">
    <w:p w14:paraId="1DB843AE" w14:textId="6F7CE124" w:rsidR="000A59C1" w:rsidRPr="006B535A" w:rsidRDefault="000A59C1" w:rsidP="000A59C1">
      <w:pPr>
        <w:pStyle w:val="FootnoteText"/>
        <w:rPr>
          <w:rFonts w:cstheme="minorHAnsi"/>
          <w:lang w:val="en-US"/>
        </w:rPr>
      </w:pPr>
      <w:r w:rsidRPr="006B535A">
        <w:rPr>
          <w:rStyle w:val="FootnoteReference"/>
          <w:rFonts w:cstheme="minorHAnsi"/>
        </w:rPr>
        <w:footnoteRef/>
      </w:r>
      <w:r w:rsidRPr="006B535A">
        <w:rPr>
          <w:rFonts w:cstheme="minorHAnsi"/>
          <w:lang w:val="en-US"/>
        </w:rPr>
        <w:t xml:space="preserve"> </w:t>
      </w:r>
      <w:proofErr w:type="spellStart"/>
      <w:r w:rsidRPr="006B535A">
        <w:rPr>
          <w:rFonts w:cstheme="minorHAnsi"/>
          <w:lang w:val="en-US"/>
        </w:rPr>
        <w:t>Katonomics</w:t>
      </w:r>
      <w:proofErr w:type="spellEnd"/>
      <w:r w:rsidRPr="006B535A">
        <w:rPr>
          <w:rFonts w:cstheme="minorHAnsi"/>
          <w:lang w:val="en-US"/>
        </w:rPr>
        <w:t xml:space="preserve"> 5: Economics of IP: The Paradox of Fashion, </w:t>
      </w:r>
      <w:hyperlink r:id="rId3" w:history="1">
        <w:r w:rsidRPr="006B535A">
          <w:rPr>
            <w:rStyle w:val="Hyperlink"/>
            <w:rFonts w:cstheme="minorHAnsi"/>
            <w:lang w:val="en-US"/>
          </w:rPr>
          <w:t>http://ipkitten.blogspot.com/2011/12/katonomics-5-economics-of-ip-paradox-of.html</w:t>
        </w:r>
      </w:hyperlink>
      <w:r w:rsidR="00CA759B" w:rsidRPr="00CA759B">
        <w:t xml:space="preserve"> </w:t>
      </w:r>
      <w:r w:rsidR="00CA759B" w:rsidRPr="00CA759B">
        <w:rPr>
          <w:rStyle w:val="Hyperlink"/>
          <w:rFonts w:cstheme="minorHAnsi"/>
          <w:lang w:val="en-US"/>
        </w:rPr>
        <w:t xml:space="preserve">accessed </w:t>
      </w:r>
      <w:r w:rsidR="00CA759B">
        <w:rPr>
          <w:rStyle w:val="Hyperlink"/>
          <w:rFonts w:cstheme="minorHAnsi"/>
          <w:lang w:val="en-US"/>
        </w:rPr>
        <w:t xml:space="preserve">16 January 2024, </w:t>
      </w:r>
      <w:r w:rsidRPr="006B535A">
        <w:rPr>
          <w:rFonts w:cstheme="minorHAnsi"/>
          <w:lang w:val="en-US"/>
        </w:rPr>
        <w:t xml:space="preserve">and The Piracy Paradox: Innovation and Intellectual Property in Fashion </w:t>
      </w:r>
      <w:proofErr w:type="spellStart"/>
      <w:r w:rsidRPr="006B535A">
        <w:rPr>
          <w:rFonts w:cstheme="minorHAnsi"/>
          <w:lang w:val="en-US"/>
        </w:rPr>
        <w:t>Design,Virginia</w:t>
      </w:r>
      <w:proofErr w:type="spellEnd"/>
      <w:r w:rsidRPr="006B535A">
        <w:rPr>
          <w:rFonts w:cstheme="minorHAnsi"/>
          <w:lang w:val="en-US"/>
        </w:rPr>
        <w:t xml:space="preserve"> Law Review, Vol. 92, p. 1687, 2006, UCLA School of Law Research Paper No. 06-04</w:t>
      </w:r>
      <w:r w:rsidR="00CA759B">
        <w:rPr>
          <w:rFonts w:cstheme="minorHAnsi"/>
          <w:lang w:val="en-US"/>
        </w:rPr>
        <w:t>.</w:t>
      </w:r>
    </w:p>
  </w:footnote>
  <w:footnote w:id="4">
    <w:p w14:paraId="41092BD9" w14:textId="77777777" w:rsidR="000A59C1" w:rsidRPr="00B93876" w:rsidRDefault="000A59C1" w:rsidP="000A59C1">
      <w:pPr>
        <w:pStyle w:val="FootnoteText"/>
        <w:rPr>
          <w:lang w:val="en-US"/>
        </w:rPr>
      </w:pPr>
      <w:r>
        <w:rPr>
          <w:rStyle w:val="FootnoteReference"/>
        </w:rPr>
        <w:footnoteRef/>
      </w:r>
      <w:r w:rsidRPr="00B93876">
        <w:rPr>
          <w:lang w:val="en-US"/>
        </w:rPr>
        <w:t xml:space="preserve"> </w:t>
      </w:r>
      <w:r>
        <w:rPr>
          <w:lang w:val="en-US"/>
        </w:rPr>
        <w:t xml:space="preserve">Frankel, S. and Gervais, D.J., Advanced Introduction to International Intellectual Property, Edward Elgar, p. 83. </w:t>
      </w:r>
      <w:bookmarkStart w:id="1" w:name="_Hlk152594278"/>
      <w:proofErr w:type="spellStart"/>
      <w:r w:rsidRPr="00E37E51">
        <w:rPr>
          <w:highlight w:val="yellow"/>
          <w:lang w:val="en-US"/>
        </w:rPr>
        <w:t>Uwi</w:t>
      </w:r>
      <w:proofErr w:type="spellEnd"/>
    </w:p>
    <w:bookmarkEnd w:id="1"/>
  </w:footnote>
  <w:footnote w:id="5">
    <w:p w14:paraId="17E4022B" w14:textId="77777777" w:rsidR="000A59C1" w:rsidRPr="00B93876" w:rsidRDefault="000A59C1" w:rsidP="000A59C1">
      <w:pPr>
        <w:pStyle w:val="FootnoteText"/>
        <w:rPr>
          <w:lang w:val="en-US"/>
        </w:rPr>
      </w:pPr>
      <w:r>
        <w:rPr>
          <w:rStyle w:val="FootnoteReference"/>
        </w:rPr>
        <w:footnoteRef/>
      </w:r>
      <w:r w:rsidRPr="00DC06ED">
        <w:rPr>
          <w:lang w:val="en-US"/>
        </w:rPr>
        <w:t xml:space="preserve"> </w:t>
      </w:r>
      <w:r>
        <w:rPr>
          <w:lang w:val="en-US"/>
        </w:rPr>
        <w:t xml:space="preserve">Kur, The Green Paper´s “Design approach” – what is wrong with </w:t>
      </w:r>
      <w:proofErr w:type="gramStart"/>
      <w:r>
        <w:rPr>
          <w:lang w:val="en-US"/>
        </w:rPr>
        <w:t>it?,</w:t>
      </w:r>
      <w:proofErr w:type="gramEnd"/>
      <w:r>
        <w:rPr>
          <w:lang w:val="en-US"/>
        </w:rPr>
        <w:t xml:space="preserve"> E.I.P.R. 1993, 15(10) p. 374.</w:t>
      </w:r>
    </w:p>
    <w:p w14:paraId="2133F966" w14:textId="77777777" w:rsidR="000A59C1" w:rsidRPr="00DC06ED" w:rsidRDefault="000A59C1" w:rsidP="000A59C1">
      <w:pPr>
        <w:pStyle w:val="FootnoteText"/>
        <w:rPr>
          <w:lang w:val="en-US"/>
        </w:rPr>
      </w:pPr>
    </w:p>
  </w:footnote>
  <w:footnote w:id="6">
    <w:p w14:paraId="5C8CA44F" w14:textId="61C30AF9" w:rsidR="00581E00" w:rsidRPr="00177090" w:rsidRDefault="00581E00">
      <w:pPr>
        <w:pStyle w:val="FootnoteText"/>
        <w:rPr>
          <w:lang w:val="en-US"/>
        </w:rPr>
      </w:pPr>
      <w:r>
        <w:rPr>
          <w:rStyle w:val="FootnoteReference"/>
        </w:rPr>
        <w:footnoteRef/>
      </w:r>
      <w:r w:rsidRPr="002743F3">
        <w:rPr>
          <w:lang w:val="sv-SE"/>
        </w:rPr>
        <w:t xml:space="preserve"> C-683/17, EU:C:2019:721, Cofemel, para. </w:t>
      </w:r>
      <w:r w:rsidRPr="00581E00">
        <w:t>42</w:t>
      </w:r>
      <w:r>
        <w:t>.</w:t>
      </w:r>
    </w:p>
  </w:footnote>
  <w:footnote w:id="7">
    <w:p w14:paraId="2DDFA6BF" w14:textId="77777777" w:rsidR="00D8025C" w:rsidRPr="00264CF3" w:rsidRDefault="00D8025C" w:rsidP="00D8025C">
      <w:pPr>
        <w:pStyle w:val="FootnoteText"/>
        <w:rPr>
          <w:lang w:val="en-US"/>
        </w:rPr>
      </w:pPr>
      <w:r>
        <w:rPr>
          <w:rStyle w:val="FootnoteReference"/>
        </w:rPr>
        <w:footnoteRef/>
      </w:r>
      <w:r w:rsidRPr="00264CF3">
        <w:rPr>
          <w:lang w:val="en-US"/>
        </w:rPr>
        <w:t xml:space="preserve"> </w:t>
      </w:r>
      <w:r>
        <w:rPr>
          <w:lang w:val="en-US"/>
        </w:rPr>
        <w:t>EUIPO Design Guidelines, section 4.1.</w:t>
      </w:r>
    </w:p>
  </w:footnote>
  <w:footnote w:id="8">
    <w:p w14:paraId="40FB70EB" w14:textId="77777777" w:rsidR="00A57BE7" w:rsidRPr="00A57551" w:rsidRDefault="00A57BE7" w:rsidP="00A57BE7">
      <w:pPr>
        <w:pStyle w:val="FootnoteText"/>
        <w:jc w:val="both"/>
      </w:pPr>
      <w:r>
        <w:rPr>
          <w:rStyle w:val="FootnoteReference"/>
        </w:rPr>
        <w:footnoteRef/>
      </w:r>
      <w:r>
        <w:t xml:space="preserve"> </w:t>
      </w:r>
      <w:r w:rsidRPr="00B24182">
        <w:rPr>
          <w:i/>
          <w:iCs/>
        </w:rPr>
        <w:t>Gal v Yves St Laurent</w:t>
      </w:r>
      <w:r>
        <w:t xml:space="preserve"> CA Paris, 18 September 2002 cited by </w:t>
      </w:r>
      <w:r w:rsidRPr="0031069C">
        <w:t xml:space="preserve">Estelle </w:t>
      </w:r>
      <w:proofErr w:type="spellStart"/>
      <w:r w:rsidRPr="0031069C">
        <w:t>Derclaye</w:t>
      </w:r>
      <w:proofErr w:type="spellEnd"/>
      <w:r w:rsidRPr="0031069C">
        <w:t>, ‘Are fashion designers better protected in Europe than in the United Kingdom: a comparative analysis of the recent case law in France, Italy and the United Kingdom’ (2010) 13(3) Journal of World Intellectual Property 315</w:t>
      </w:r>
      <w:r>
        <w:t>.</w:t>
      </w:r>
    </w:p>
  </w:footnote>
  <w:footnote w:id="9">
    <w:p w14:paraId="4A09FDD5" w14:textId="77777777" w:rsidR="00A57BE7" w:rsidRPr="00434856" w:rsidRDefault="00A57BE7" w:rsidP="00A57BE7">
      <w:pPr>
        <w:pStyle w:val="FootnoteText"/>
        <w:jc w:val="both"/>
      </w:pPr>
      <w:r>
        <w:rPr>
          <w:rStyle w:val="FootnoteReference"/>
        </w:rPr>
        <w:footnoteRef/>
      </w:r>
      <w:r>
        <w:t xml:space="preserve"> Directive, Recital 11 reads 'in whole or in part, which are shown </w:t>
      </w:r>
      <w:r w:rsidRPr="005E0830">
        <w:rPr>
          <w:i/>
          <w:iCs/>
        </w:rPr>
        <w:t>visibly</w:t>
      </w:r>
      <w:r>
        <w:t xml:space="preserve"> in an application’ [emphasis added].</w:t>
      </w:r>
    </w:p>
  </w:footnote>
  <w:footnote w:id="10">
    <w:p w14:paraId="2E29D745" w14:textId="77777777" w:rsidR="00157493" w:rsidRPr="00112B86" w:rsidRDefault="00157493" w:rsidP="00157493">
      <w:pPr>
        <w:pStyle w:val="FootnoteText"/>
        <w:jc w:val="both"/>
      </w:pPr>
      <w:r>
        <w:rPr>
          <w:rStyle w:val="FootnoteReference"/>
        </w:rPr>
        <w:footnoteRef/>
      </w:r>
      <w:r>
        <w:t xml:space="preserve"> Lionel Bently and others, Intellectual Property (6</w:t>
      </w:r>
      <w:r w:rsidRPr="009F27AF">
        <w:rPr>
          <w:vertAlign w:val="superscript"/>
        </w:rPr>
        <w:t>th</w:t>
      </w:r>
      <w:r>
        <w:t xml:space="preserve"> </w:t>
      </w:r>
      <w:proofErr w:type="spellStart"/>
      <w:r>
        <w:t>edn</w:t>
      </w:r>
      <w:proofErr w:type="spellEnd"/>
      <w:r>
        <w:t>, OUP 2020) 751.</w:t>
      </w:r>
    </w:p>
  </w:footnote>
  <w:footnote w:id="11">
    <w:p w14:paraId="780CB970" w14:textId="77777777" w:rsidR="00D8025C" w:rsidRPr="00C3489E" w:rsidRDefault="00D8025C" w:rsidP="00D8025C">
      <w:pPr>
        <w:pStyle w:val="FootnoteText"/>
        <w:rPr>
          <w:lang w:val="en-US"/>
        </w:rPr>
      </w:pPr>
      <w:r>
        <w:rPr>
          <w:rStyle w:val="FootnoteReference"/>
        </w:rPr>
        <w:footnoteRef/>
      </w:r>
      <w:r w:rsidRPr="00C3489E">
        <w:rPr>
          <w:lang w:val="en-US"/>
        </w:rPr>
        <w:t xml:space="preserve"> </w:t>
      </w:r>
      <w:bookmarkStart w:id="3" w:name="_Hlk152707734"/>
      <w:r>
        <w:rPr>
          <w:lang w:val="en-US"/>
        </w:rPr>
        <w:t>Stone, David,</w:t>
      </w:r>
      <w:r w:rsidRPr="00C3489E">
        <w:rPr>
          <w:lang w:val="en-US"/>
        </w:rPr>
        <w:t xml:space="preserve"> European Union Design Law. A practitioner’s guide, 2 ed. Oxford University Press, p</w:t>
      </w:r>
      <w:r>
        <w:rPr>
          <w:lang w:val="en-US"/>
        </w:rPr>
        <w:t>. 50.</w:t>
      </w:r>
    </w:p>
    <w:bookmarkEnd w:id="3"/>
  </w:footnote>
  <w:footnote w:id="12">
    <w:p w14:paraId="1B32F10B" w14:textId="77777777" w:rsidR="00D8025C" w:rsidRPr="00C3489E" w:rsidRDefault="00D8025C" w:rsidP="00D8025C">
      <w:pPr>
        <w:pStyle w:val="FootnoteText"/>
        <w:rPr>
          <w:lang w:val="en-US"/>
        </w:rPr>
      </w:pPr>
      <w:r>
        <w:rPr>
          <w:rStyle w:val="FootnoteReference"/>
        </w:rPr>
        <w:footnoteRef/>
      </w:r>
      <w:r w:rsidRPr="00C3489E">
        <w:rPr>
          <w:lang w:val="en-US"/>
        </w:rPr>
        <w:t xml:space="preserve"> </w:t>
      </w:r>
      <w:r>
        <w:rPr>
          <w:lang w:val="en-US"/>
        </w:rPr>
        <w:t>Ibid.</w:t>
      </w:r>
    </w:p>
  </w:footnote>
  <w:footnote w:id="13">
    <w:p w14:paraId="0C55EBB8" w14:textId="77777777" w:rsidR="00D8025C" w:rsidRPr="00C3489E" w:rsidRDefault="00D8025C" w:rsidP="00D8025C">
      <w:pPr>
        <w:pStyle w:val="FootnoteText"/>
        <w:rPr>
          <w:lang w:val="en-US"/>
        </w:rPr>
      </w:pPr>
      <w:r>
        <w:rPr>
          <w:rStyle w:val="FootnoteReference"/>
        </w:rPr>
        <w:footnoteRef/>
      </w:r>
      <w:r w:rsidRPr="00C3489E">
        <w:rPr>
          <w:lang w:val="en-US"/>
        </w:rPr>
        <w:t xml:space="preserve"> </w:t>
      </w:r>
      <w:bookmarkStart w:id="4" w:name="_Hlk152708734"/>
      <w:r w:rsidRPr="00C3489E">
        <w:rPr>
          <w:lang w:val="en-US"/>
        </w:rPr>
        <w:t>Stone, David, European Union Design Law. A practitioner’s guide, 2 ed. Oxford University Press, p. 5</w:t>
      </w:r>
      <w:r>
        <w:rPr>
          <w:lang w:val="en-US"/>
        </w:rPr>
        <w:t>1.</w:t>
      </w:r>
      <w:bookmarkEnd w:id="4"/>
    </w:p>
  </w:footnote>
  <w:footnote w:id="14">
    <w:p w14:paraId="5740B893" w14:textId="77777777" w:rsidR="00D8025C" w:rsidRPr="00D07BFA" w:rsidRDefault="00D8025C" w:rsidP="00D8025C">
      <w:pPr>
        <w:pStyle w:val="FootnoteText"/>
        <w:rPr>
          <w:lang w:val="en-US"/>
        </w:rPr>
      </w:pPr>
      <w:r>
        <w:rPr>
          <w:rStyle w:val="FootnoteReference"/>
        </w:rPr>
        <w:footnoteRef/>
      </w:r>
      <w:r w:rsidRPr="00D07BFA">
        <w:rPr>
          <w:lang w:val="en-US"/>
        </w:rPr>
        <w:t xml:space="preserve"> </w:t>
      </w:r>
      <w:r>
        <w:rPr>
          <w:lang w:val="en-US"/>
        </w:rPr>
        <w:t>Ibid.</w:t>
      </w:r>
    </w:p>
  </w:footnote>
  <w:footnote w:id="15">
    <w:p w14:paraId="68F5CB39" w14:textId="77777777" w:rsidR="00D8025C" w:rsidRPr="00380D48" w:rsidRDefault="00D8025C" w:rsidP="00D8025C">
      <w:pPr>
        <w:pStyle w:val="FootnoteText"/>
        <w:rPr>
          <w:lang w:val="en-US"/>
        </w:rPr>
      </w:pPr>
      <w:r>
        <w:rPr>
          <w:rStyle w:val="FootnoteReference"/>
        </w:rPr>
        <w:footnoteRef/>
      </w:r>
      <w:r w:rsidRPr="00380D48">
        <w:rPr>
          <w:lang w:val="en-US"/>
        </w:rPr>
        <w:t xml:space="preserve"> </w:t>
      </w:r>
      <w:r>
        <w:rPr>
          <w:lang w:val="en-US"/>
        </w:rPr>
        <w:t>Green paper, p. 61.</w:t>
      </w:r>
    </w:p>
  </w:footnote>
  <w:footnote w:id="16">
    <w:p w14:paraId="38823228" w14:textId="77777777" w:rsidR="00D8025C" w:rsidRPr="00C80F9A" w:rsidRDefault="00D8025C" w:rsidP="00D8025C">
      <w:pPr>
        <w:pStyle w:val="FootnoteText"/>
        <w:rPr>
          <w:lang w:val="en-US"/>
        </w:rPr>
      </w:pPr>
      <w:r>
        <w:rPr>
          <w:rStyle w:val="FootnoteReference"/>
        </w:rPr>
        <w:footnoteRef/>
      </w:r>
      <w:r w:rsidRPr="00C80F9A">
        <w:rPr>
          <w:lang w:val="en-US"/>
        </w:rPr>
        <w:t xml:space="preserve"> Stone, David, European Union Design Law. A practitioner’s guide, 2 ed. Oxford University Press, p. 5</w:t>
      </w:r>
      <w:r>
        <w:rPr>
          <w:lang w:val="en-US"/>
        </w:rPr>
        <w:t>2.</w:t>
      </w:r>
    </w:p>
  </w:footnote>
  <w:footnote w:id="17">
    <w:p w14:paraId="75CB0A4F" w14:textId="77777777" w:rsidR="00D8025C" w:rsidRPr="00271D9D" w:rsidRDefault="00D8025C" w:rsidP="00D8025C">
      <w:pPr>
        <w:pStyle w:val="FootnoteText"/>
        <w:rPr>
          <w:lang w:val="en-US"/>
        </w:rPr>
      </w:pPr>
      <w:r>
        <w:rPr>
          <w:rStyle w:val="FootnoteReference"/>
        </w:rPr>
        <w:footnoteRef/>
      </w:r>
      <w:r w:rsidRPr="00271D9D">
        <w:rPr>
          <w:lang w:val="en-US"/>
        </w:rPr>
        <w:t xml:space="preserve"> Proposal for a regulation of t</w:t>
      </w:r>
      <w:r>
        <w:rPr>
          <w:lang w:val="en-US"/>
        </w:rPr>
        <w:t>he European Parliament and of the council amending Council Regulation (EC) No 6/2002 Community designs and repealing Commission Regulation (EC) No 2246/2002.</w:t>
      </w:r>
    </w:p>
  </w:footnote>
  <w:footnote w:id="18">
    <w:p w14:paraId="44FD5ABD" w14:textId="583E7724" w:rsidR="00134699" w:rsidRPr="0098263A" w:rsidRDefault="00134699" w:rsidP="00134699">
      <w:pPr>
        <w:pStyle w:val="FootnoteText"/>
        <w:jc w:val="both"/>
      </w:pPr>
      <w:r>
        <w:rPr>
          <w:rStyle w:val="FootnoteReference"/>
        </w:rPr>
        <w:footnoteRef/>
      </w:r>
      <w:r>
        <w:t xml:space="preserve"> Wearable technology worth was $34 billion in 2020. See </w:t>
      </w:r>
      <w:proofErr w:type="spellStart"/>
      <w:r>
        <w:t>Gionanni</w:t>
      </w:r>
      <w:proofErr w:type="spellEnd"/>
      <w:r>
        <w:t xml:space="preserve"> Ziccardi, ’Wearable technologies and smart clothes in the fashion business: some issues concerning cybersecurity and data protection’ (2020) 9((2) MDPI 12.</w:t>
      </w:r>
    </w:p>
  </w:footnote>
  <w:footnote w:id="19">
    <w:p w14:paraId="468EDD60" w14:textId="77777777" w:rsidR="00134699" w:rsidRPr="003F2F17" w:rsidRDefault="00134699" w:rsidP="00134699">
      <w:pPr>
        <w:pStyle w:val="FootnoteText"/>
        <w:jc w:val="both"/>
      </w:pPr>
      <w:r>
        <w:rPr>
          <w:rStyle w:val="FootnoteReference"/>
        </w:rPr>
        <w:footnoteRef/>
      </w:r>
      <w:r>
        <w:t xml:space="preserve"> </w:t>
      </w:r>
      <w:proofErr w:type="spellStart"/>
      <w:r w:rsidRPr="00E86981">
        <w:rPr>
          <w:i/>
          <w:iCs/>
        </w:rPr>
        <w:t>Rothy’s</w:t>
      </w:r>
      <w:proofErr w:type="spellEnd"/>
      <w:r w:rsidRPr="00E86981">
        <w:rPr>
          <w:i/>
          <w:iCs/>
        </w:rPr>
        <w:t xml:space="preserve"> Inc v </w:t>
      </w:r>
      <w:proofErr w:type="spellStart"/>
      <w:r w:rsidRPr="00E86981">
        <w:rPr>
          <w:i/>
          <w:iCs/>
        </w:rPr>
        <w:t>Giesswein</w:t>
      </w:r>
      <w:proofErr w:type="spellEnd"/>
      <w:r w:rsidRPr="00E86981">
        <w:rPr>
          <w:i/>
          <w:iCs/>
        </w:rPr>
        <w:t xml:space="preserve"> </w:t>
      </w:r>
      <w:proofErr w:type="spellStart"/>
      <w:r w:rsidRPr="00E86981">
        <w:rPr>
          <w:i/>
          <w:iCs/>
        </w:rPr>
        <w:t>Walkwaren</w:t>
      </w:r>
      <w:proofErr w:type="spellEnd"/>
      <w:r w:rsidRPr="00E86981">
        <w:rPr>
          <w:i/>
          <w:iCs/>
        </w:rPr>
        <w:t xml:space="preserve"> AG</w:t>
      </w:r>
      <w:r>
        <w:t xml:space="preserve"> [2020] EWHC 3391 (IPEC), 16 December 2020, Case No IP 2019-000084.</w:t>
      </w:r>
    </w:p>
  </w:footnote>
  <w:footnote w:id="20">
    <w:p w14:paraId="57D5372B" w14:textId="77777777" w:rsidR="00A10B3D" w:rsidRPr="003B32AC" w:rsidRDefault="00A10B3D" w:rsidP="00A10B3D">
      <w:pPr>
        <w:pStyle w:val="FootnoteText"/>
        <w:jc w:val="both"/>
      </w:pPr>
      <w:r>
        <w:rPr>
          <w:rStyle w:val="FootnoteReference"/>
        </w:rPr>
        <w:footnoteRef/>
      </w:r>
      <w:r>
        <w:t xml:space="preserve"> Council Regulation (EC) No6/2002 of 12 of December 2001 on Community Designs, 2002 OJ (L3).</w:t>
      </w:r>
    </w:p>
  </w:footnote>
  <w:footnote w:id="21">
    <w:p w14:paraId="5FC0E7CD" w14:textId="77777777" w:rsidR="00414E0E" w:rsidRPr="00E34636" w:rsidRDefault="00414E0E" w:rsidP="00414E0E">
      <w:pPr>
        <w:pStyle w:val="FootnoteText"/>
        <w:jc w:val="both"/>
      </w:pPr>
      <w:r>
        <w:rPr>
          <w:rStyle w:val="FootnoteReference"/>
        </w:rPr>
        <w:footnoteRef/>
      </w:r>
      <w:r>
        <w:t xml:space="preserve"> Directive 98/71/EC of the European Parliament and of the Council of 13 October 1998 on the Legal Protection of Designs, 1998 OJ (L289).</w:t>
      </w:r>
    </w:p>
  </w:footnote>
  <w:footnote w:id="22">
    <w:p w14:paraId="791A29C6" w14:textId="765FD9EC" w:rsidR="00414E0E" w:rsidRPr="0081755E" w:rsidRDefault="00414E0E" w:rsidP="00414E0E">
      <w:pPr>
        <w:pStyle w:val="FootnoteText"/>
        <w:jc w:val="both"/>
      </w:pPr>
      <w:r>
        <w:rPr>
          <w:rStyle w:val="FootnoteReference"/>
        </w:rPr>
        <w:footnoteRef/>
      </w:r>
      <w:r>
        <w:t xml:space="preserve"> Joanna Buchalska, </w:t>
      </w:r>
      <w:r w:rsidR="00087F1E">
        <w:t>‘</w:t>
      </w:r>
      <w:r>
        <w:t>Fashion law: a new approach’ (2016) 7 Queen Mary Law Journal 13,</w:t>
      </w:r>
      <w:r w:rsidR="006B0ECC">
        <w:t xml:space="preserve"> </w:t>
      </w:r>
      <w:r>
        <w:t>22.</w:t>
      </w:r>
    </w:p>
  </w:footnote>
  <w:footnote w:id="23">
    <w:p w14:paraId="2F37CAFB" w14:textId="209D397A" w:rsidR="000B4575" w:rsidRDefault="000B4575">
      <w:pPr>
        <w:pStyle w:val="FootnoteText"/>
      </w:pPr>
      <w:r>
        <w:rPr>
          <w:rStyle w:val="FootnoteReference"/>
        </w:rPr>
        <w:footnoteRef/>
      </w:r>
      <w:r>
        <w:t xml:space="preserve"> </w:t>
      </w:r>
      <w:r w:rsidRPr="000B4575">
        <w:t xml:space="preserve">O Church, E </w:t>
      </w:r>
      <w:proofErr w:type="spellStart"/>
      <w:r w:rsidRPr="000B4575">
        <w:t>Derclaye</w:t>
      </w:r>
      <w:proofErr w:type="spellEnd"/>
      <w:r w:rsidRPr="000B4575">
        <w:t xml:space="preserve"> and G </w:t>
      </w:r>
      <w:proofErr w:type="spellStart"/>
      <w:r w:rsidRPr="000B4575">
        <w:t>Stupfler</w:t>
      </w:r>
      <w:proofErr w:type="spellEnd"/>
      <w:r w:rsidRPr="000B4575">
        <w:t>, ‘An empirical analysis of the design case law of the EU member states’ (2019) 50 Int Rev Intellectual Property Competition Law 685, 686.</w:t>
      </w:r>
    </w:p>
  </w:footnote>
  <w:footnote w:id="24">
    <w:p w14:paraId="4818DB5B" w14:textId="1EC001FB" w:rsidR="00D461B7" w:rsidRPr="00443977" w:rsidRDefault="00D461B7" w:rsidP="00D461B7">
      <w:pPr>
        <w:pStyle w:val="FootnoteText"/>
        <w:jc w:val="both"/>
      </w:pPr>
      <w:r>
        <w:rPr>
          <w:rStyle w:val="FootnoteReference"/>
        </w:rPr>
        <w:footnoteRef/>
      </w:r>
      <w:r>
        <w:t xml:space="preserve"> </w:t>
      </w:r>
      <w:r w:rsidR="000B4575">
        <w:t>ibid.</w:t>
      </w:r>
    </w:p>
  </w:footnote>
  <w:footnote w:id="25">
    <w:p w14:paraId="1BB84C79" w14:textId="381582B5" w:rsidR="001D5840" w:rsidRPr="002B1F62" w:rsidRDefault="001D5840" w:rsidP="001D5840">
      <w:pPr>
        <w:pStyle w:val="FootnoteText"/>
        <w:jc w:val="both"/>
      </w:pPr>
      <w:r>
        <w:rPr>
          <w:rStyle w:val="FootnoteReference"/>
        </w:rPr>
        <w:footnoteRef/>
      </w:r>
      <w:r>
        <w:t xml:space="preserve"> </w:t>
      </w:r>
      <w:r w:rsidRPr="002B1F62">
        <w:t xml:space="preserve">Rosie Burbidge, </w:t>
      </w:r>
      <w:r w:rsidRPr="00A128EA">
        <w:rPr>
          <w:i/>
          <w:iCs/>
        </w:rPr>
        <w:t xml:space="preserve">European </w:t>
      </w:r>
      <w:r w:rsidR="00A128EA">
        <w:rPr>
          <w:i/>
          <w:iCs/>
        </w:rPr>
        <w:t>f</w:t>
      </w:r>
      <w:r w:rsidRPr="00A128EA">
        <w:rPr>
          <w:i/>
          <w:iCs/>
        </w:rPr>
        <w:t xml:space="preserve">ashion </w:t>
      </w:r>
      <w:r w:rsidR="00A128EA">
        <w:rPr>
          <w:i/>
          <w:iCs/>
        </w:rPr>
        <w:t>l</w:t>
      </w:r>
      <w:r w:rsidRPr="00A128EA">
        <w:rPr>
          <w:i/>
          <w:iCs/>
        </w:rPr>
        <w:t xml:space="preserve">aw: a practical guide from star-up to global success </w:t>
      </w:r>
      <w:r w:rsidRPr="00A128EA">
        <w:t>(EE</w:t>
      </w:r>
      <w:r w:rsidRPr="002B1F62">
        <w:t xml:space="preserve"> 2019) 87.</w:t>
      </w:r>
    </w:p>
  </w:footnote>
  <w:footnote w:id="26">
    <w:p w14:paraId="32E2774D" w14:textId="77777777" w:rsidR="00D007FA" w:rsidRPr="00E47A39" w:rsidRDefault="00D007FA" w:rsidP="00D007FA">
      <w:pPr>
        <w:pStyle w:val="FootnoteText"/>
        <w:jc w:val="both"/>
      </w:pPr>
      <w:r>
        <w:rPr>
          <w:rStyle w:val="FootnoteReference"/>
        </w:rPr>
        <w:footnoteRef/>
      </w:r>
      <w:r>
        <w:t xml:space="preserve"> The</w:t>
      </w:r>
      <w:r w:rsidRPr="00601BD2">
        <w:t xml:space="preserve"> Locarno classification is a system for classifying industrial designs established by </w:t>
      </w:r>
      <w:r>
        <w:t xml:space="preserve">the </w:t>
      </w:r>
      <w:r w:rsidRPr="00601BD2">
        <w:t>Locarno Agreement (1968), administered by the World Intellectual Property Organization.</w:t>
      </w:r>
    </w:p>
  </w:footnote>
  <w:footnote w:id="27">
    <w:p w14:paraId="540825F0" w14:textId="045D87F5" w:rsidR="00D007FA" w:rsidRPr="00483800" w:rsidRDefault="00D007FA" w:rsidP="00D007FA">
      <w:pPr>
        <w:pStyle w:val="FootnoteText"/>
        <w:jc w:val="both"/>
      </w:pPr>
      <w:r>
        <w:rPr>
          <w:rStyle w:val="FootnoteReference"/>
        </w:rPr>
        <w:footnoteRef/>
      </w:r>
      <w:r>
        <w:t xml:space="preserve"> </w:t>
      </w:r>
      <w:r w:rsidR="005A75CF" w:rsidRPr="002B1F62">
        <w:t xml:space="preserve">Rosie Burbidge, </w:t>
      </w:r>
      <w:r w:rsidR="005A75CF" w:rsidRPr="00A128EA">
        <w:rPr>
          <w:i/>
          <w:iCs/>
        </w:rPr>
        <w:t xml:space="preserve">European </w:t>
      </w:r>
      <w:r w:rsidR="005A75CF">
        <w:rPr>
          <w:i/>
          <w:iCs/>
        </w:rPr>
        <w:t>f</w:t>
      </w:r>
      <w:r w:rsidR="005A75CF" w:rsidRPr="00A128EA">
        <w:rPr>
          <w:i/>
          <w:iCs/>
        </w:rPr>
        <w:t xml:space="preserve">ashion </w:t>
      </w:r>
      <w:r w:rsidR="005A75CF">
        <w:rPr>
          <w:i/>
          <w:iCs/>
        </w:rPr>
        <w:t>l</w:t>
      </w:r>
      <w:r w:rsidR="005A75CF" w:rsidRPr="00A128EA">
        <w:rPr>
          <w:i/>
          <w:iCs/>
        </w:rPr>
        <w:t xml:space="preserve">aw: a practical guide from star-up to global success </w:t>
      </w:r>
      <w:r w:rsidR="005A75CF" w:rsidRPr="00A128EA">
        <w:t>(EE</w:t>
      </w:r>
      <w:r w:rsidR="005A75CF" w:rsidRPr="002B1F62">
        <w:t xml:space="preserve"> 2019)</w:t>
      </w:r>
      <w:r w:rsidRPr="002B1F62">
        <w:t xml:space="preserve"> </w:t>
      </w:r>
      <w:r>
        <w:t>92.</w:t>
      </w:r>
    </w:p>
  </w:footnote>
  <w:footnote w:id="28">
    <w:p w14:paraId="2DB58D42" w14:textId="77777777" w:rsidR="00E95DB7" w:rsidRPr="0015511A" w:rsidRDefault="00E95DB7" w:rsidP="00E95DB7">
      <w:pPr>
        <w:pStyle w:val="FootnoteText"/>
        <w:jc w:val="both"/>
      </w:pPr>
      <w:r>
        <w:rPr>
          <w:rStyle w:val="FootnoteReference"/>
        </w:rPr>
        <w:footnoteRef/>
      </w:r>
      <w:r>
        <w:t xml:space="preserve"> Article 16 Directive.</w:t>
      </w:r>
    </w:p>
  </w:footnote>
  <w:footnote w:id="29">
    <w:p w14:paraId="2DFA4947" w14:textId="5C810A9D" w:rsidR="005E5BD9" w:rsidRPr="005B1029" w:rsidRDefault="005E5BD9" w:rsidP="005E5BD9">
      <w:pPr>
        <w:pStyle w:val="FootnoteText"/>
        <w:jc w:val="both"/>
      </w:pPr>
      <w:r>
        <w:rPr>
          <w:rStyle w:val="FootnoteReference"/>
        </w:rPr>
        <w:footnoteRef/>
      </w:r>
      <w:r>
        <w:t xml:space="preserve"> </w:t>
      </w:r>
      <w:bookmarkStart w:id="6" w:name="_Hlk152554143"/>
      <w:r w:rsidR="00F529E2" w:rsidRPr="0031069C">
        <w:t xml:space="preserve">Estelle </w:t>
      </w:r>
      <w:proofErr w:type="spellStart"/>
      <w:r w:rsidR="00F529E2" w:rsidRPr="0031069C">
        <w:t>Derclaye</w:t>
      </w:r>
      <w:proofErr w:type="spellEnd"/>
      <w:r w:rsidR="00F529E2" w:rsidRPr="0031069C">
        <w:t>, ‘Are fashion designers better protected in Europe than in the United Kingdom: a comparative analysis of the recent case law in France, Italy and the United Kingdom’ (2010) 13(3) Journal of World Intellectual Property 31</w:t>
      </w:r>
      <w:r>
        <w:t>7.</w:t>
      </w:r>
      <w:bookmarkEnd w:id="6"/>
    </w:p>
  </w:footnote>
  <w:footnote w:id="30">
    <w:p w14:paraId="51D09664" w14:textId="59CA224A" w:rsidR="005E5BD9" w:rsidRPr="00B4650A" w:rsidRDefault="005E5BD9" w:rsidP="005E5BD9">
      <w:pPr>
        <w:pStyle w:val="FootnoteText"/>
        <w:jc w:val="both"/>
      </w:pPr>
      <w:r>
        <w:rPr>
          <w:rStyle w:val="FootnoteReference"/>
        </w:rPr>
        <w:footnoteRef/>
      </w:r>
      <w:r>
        <w:t xml:space="preserve"> </w:t>
      </w:r>
      <w:r w:rsidR="0076593F">
        <w:t xml:space="preserve">Joanna Buchalska, ‘Fashion law: a new approach’ (2016) 7 Queen Mary Law Journal 13, </w:t>
      </w:r>
      <w:r>
        <w:t>22.</w:t>
      </w:r>
    </w:p>
  </w:footnote>
  <w:footnote w:id="31">
    <w:p w14:paraId="3F4B58C9" w14:textId="07B24759" w:rsidR="00CB2BA1" w:rsidRPr="00177090" w:rsidRDefault="00CB2BA1" w:rsidP="00CB2BA1">
      <w:pPr>
        <w:pStyle w:val="FootnoteText"/>
        <w:jc w:val="both"/>
      </w:pPr>
      <w:r>
        <w:rPr>
          <w:rStyle w:val="FootnoteReference"/>
        </w:rPr>
        <w:footnoteRef/>
      </w:r>
      <w:r w:rsidRPr="00581E00">
        <w:t xml:space="preserve"> </w:t>
      </w:r>
      <w:r w:rsidR="00F529E2" w:rsidRPr="0031069C">
        <w:t xml:space="preserve">Estelle </w:t>
      </w:r>
      <w:proofErr w:type="spellStart"/>
      <w:r w:rsidR="00F529E2" w:rsidRPr="0031069C">
        <w:t>Derclaye</w:t>
      </w:r>
      <w:proofErr w:type="spellEnd"/>
      <w:r w:rsidR="00F529E2" w:rsidRPr="0031069C">
        <w:t xml:space="preserve">, ‘Are fashion designers better protected in Europe than in the United Kingdom: a comparative analysis of the recent case law in France, Italy and the United Kingdom’ (2010) 13(3) Journal of World Intellectual Property </w:t>
      </w:r>
      <w:r w:rsidRPr="00581E00">
        <w:t>333.</w:t>
      </w:r>
    </w:p>
  </w:footnote>
  <w:footnote w:id="32">
    <w:p w14:paraId="28C6B2EC" w14:textId="52B30C15" w:rsidR="0036653D" w:rsidRPr="00581E00" w:rsidRDefault="0036653D" w:rsidP="0036653D">
      <w:pPr>
        <w:pStyle w:val="FootnoteText"/>
        <w:jc w:val="both"/>
      </w:pPr>
      <w:r>
        <w:rPr>
          <w:rStyle w:val="FootnoteReference"/>
        </w:rPr>
        <w:footnoteRef/>
      </w:r>
      <w:r w:rsidRPr="00581E00">
        <w:t xml:space="preserve"> Article 12 </w:t>
      </w:r>
      <w:r w:rsidR="00B15872" w:rsidRPr="00581E00">
        <w:t>Regulation</w:t>
      </w:r>
      <w:r w:rsidR="00A26D1D" w:rsidRPr="00581E00">
        <w:t xml:space="preserve"> and</w:t>
      </w:r>
      <w:r w:rsidRPr="00581E00">
        <w:t xml:space="preserve"> Article 10 Directive.</w:t>
      </w:r>
    </w:p>
  </w:footnote>
  <w:footnote w:id="33">
    <w:p w14:paraId="489E9B7E" w14:textId="77777777" w:rsidR="00033B20" w:rsidRPr="008736BD" w:rsidRDefault="00033B20" w:rsidP="00033B20">
      <w:pPr>
        <w:pStyle w:val="FootnoteText"/>
        <w:jc w:val="both"/>
      </w:pPr>
      <w:r>
        <w:rPr>
          <w:rStyle w:val="FootnoteReference"/>
        </w:rPr>
        <w:footnoteRef/>
      </w:r>
      <w:r w:rsidRPr="008736BD">
        <w:t xml:space="preserve"> Article 4 Regulation.</w:t>
      </w:r>
    </w:p>
  </w:footnote>
  <w:footnote w:id="34">
    <w:p w14:paraId="12423805" w14:textId="73B02AB3" w:rsidR="00895BE8" w:rsidRPr="005237FC" w:rsidRDefault="00895BE8" w:rsidP="00895BE8">
      <w:pPr>
        <w:pStyle w:val="FootnoteText"/>
        <w:jc w:val="both"/>
      </w:pPr>
      <w:r>
        <w:rPr>
          <w:rStyle w:val="FootnoteReference"/>
        </w:rPr>
        <w:footnoteRef/>
      </w:r>
      <w:r>
        <w:t xml:space="preserve"> Complex products </w:t>
      </w:r>
      <w:r w:rsidR="003E303E">
        <w:t>are</w:t>
      </w:r>
      <w:r>
        <w:t xml:space="preserve"> defined under </w:t>
      </w:r>
      <w:r w:rsidR="00B15872">
        <w:t>Article</w:t>
      </w:r>
      <w:r>
        <w:t xml:space="preserve"> 3(c) Regulation </w:t>
      </w:r>
      <w:r w:rsidR="00B15872">
        <w:t>as ‘</w:t>
      </w:r>
      <w:r w:rsidRPr="005237FC">
        <w:t>a product which is composed of multiple components which can be replaced permitting disassembly and re-assembly of the product.</w:t>
      </w:r>
      <w:r>
        <w:t>’</w:t>
      </w:r>
    </w:p>
  </w:footnote>
  <w:footnote w:id="35">
    <w:p w14:paraId="33E49029" w14:textId="2B116019" w:rsidR="00697830" w:rsidRPr="00DE275D" w:rsidRDefault="00697830" w:rsidP="00697830">
      <w:pPr>
        <w:pStyle w:val="FootnoteText"/>
        <w:jc w:val="both"/>
      </w:pPr>
      <w:r>
        <w:rPr>
          <w:rStyle w:val="FootnoteReference"/>
        </w:rPr>
        <w:footnoteRef/>
      </w:r>
      <w:r>
        <w:t xml:space="preserve"> </w:t>
      </w:r>
      <w:r w:rsidR="00F529E2" w:rsidRPr="0031069C">
        <w:t xml:space="preserve">Estelle </w:t>
      </w:r>
      <w:proofErr w:type="spellStart"/>
      <w:r w:rsidR="00F529E2" w:rsidRPr="0031069C">
        <w:t>Derclaye</w:t>
      </w:r>
      <w:proofErr w:type="spellEnd"/>
      <w:r w:rsidR="00F529E2" w:rsidRPr="0031069C">
        <w:t>, ‘Are fashion designers better protected in Europe than in the United Kingdom: a comparative analysis of the recent case law in France, Italy and the United Kingdom’ (2010) 13(3) Journal of World Intellectual Property 31</w:t>
      </w:r>
      <w:r>
        <w:t>7.</w:t>
      </w:r>
    </w:p>
  </w:footnote>
  <w:footnote w:id="36">
    <w:p w14:paraId="1E24F2D8" w14:textId="5EC0573C" w:rsidR="00F90067" w:rsidRPr="00494A9E" w:rsidRDefault="00F90067" w:rsidP="00F90067">
      <w:pPr>
        <w:pStyle w:val="FootnoteText"/>
        <w:jc w:val="both"/>
      </w:pPr>
      <w:r>
        <w:rPr>
          <w:rStyle w:val="FootnoteReference"/>
        </w:rPr>
        <w:footnoteRef/>
      </w:r>
      <w:r>
        <w:t xml:space="preserve"> </w:t>
      </w:r>
      <w:r w:rsidR="005C40E6">
        <w:t xml:space="preserve">Lionel Bently and others, </w:t>
      </w:r>
      <w:r w:rsidR="005C40E6" w:rsidRPr="006B440C">
        <w:rPr>
          <w:i/>
          <w:iCs/>
        </w:rPr>
        <w:t>Intellectual Propert</w:t>
      </w:r>
      <w:r w:rsidR="006B440C">
        <w:rPr>
          <w:i/>
          <w:iCs/>
        </w:rPr>
        <w:t>y</w:t>
      </w:r>
      <w:r w:rsidR="00942ED2">
        <w:rPr>
          <w:i/>
          <w:iCs/>
        </w:rPr>
        <w:t xml:space="preserve"> Law</w:t>
      </w:r>
      <w:r w:rsidR="005C40E6">
        <w:t xml:space="preserve"> (6</w:t>
      </w:r>
      <w:r w:rsidR="005C40E6" w:rsidRPr="009F27AF">
        <w:rPr>
          <w:vertAlign w:val="superscript"/>
        </w:rPr>
        <w:t>th</w:t>
      </w:r>
      <w:r w:rsidR="005C40E6">
        <w:t xml:space="preserve"> </w:t>
      </w:r>
      <w:proofErr w:type="spellStart"/>
      <w:r w:rsidR="005C40E6">
        <w:t>edn</w:t>
      </w:r>
      <w:proofErr w:type="spellEnd"/>
      <w:r w:rsidR="005C40E6">
        <w:t>, OUP 202</w:t>
      </w:r>
      <w:r w:rsidR="00942ED2">
        <w:t>2</w:t>
      </w:r>
      <w:r w:rsidR="005C40E6">
        <w:t>)</w:t>
      </w:r>
      <w:r w:rsidR="006B440C">
        <w:t xml:space="preserve"> </w:t>
      </w:r>
      <w:r>
        <w:t>745.</w:t>
      </w:r>
    </w:p>
  </w:footnote>
  <w:footnote w:id="37">
    <w:p w14:paraId="067E3CB1" w14:textId="35AE9CA1" w:rsidR="00791A43" w:rsidRPr="00820554" w:rsidRDefault="00791A43" w:rsidP="00791A43">
      <w:pPr>
        <w:pStyle w:val="FootnoteText"/>
        <w:jc w:val="both"/>
      </w:pPr>
      <w:r>
        <w:rPr>
          <w:rStyle w:val="FootnoteReference"/>
        </w:rPr>
        <w:footnoteRef/>
      </w:r>
      <w:r>
        <w:t xml:space="preserve"> Article 4.1(a)(b) </w:t>
      </w:r>
      <w:r w:rsidR="00F43C17">
        <w:t>Regulation; Art</w:t>
      </w:r>
      <w:r w:rsidR="000615B9">
        <w:t>icle</w:t>
      </w:r>
      <w:r>
        <w:t xml:space="preserve"> 3 Directive</w:t>
      </w:r>
      <w:r w:rsidR="000615B9">
        <w:t>.</w:t>
      </w:r>
      <w:r w:rsidR="005C40E6">
        <w:t xml:space="preserve"> </w:t>
      </w:r>
    </w:p>
  </w:footnote>
  <w:footnote w:id="38">
    <w:p w14:paraId="543DF59C" w14:textId="232CCC2D" w:rsidR="004644EA" w:rsidRPr="00BB0236" w:rsidRDefault="004644EA" w:rsidP="004644EA">
      <w:pPr>
        <w:pStyle w:val="FootnoteText"/>
        <w:jc w:val="both"/>
      </w:pPr>
      <w:r>
        <w:rPr>
          <w:rStyle w:val="FootnoteReference"/>
        </w:rPr>
        <w:footnoteRef/>
      </w:r>
      <w:r w:rsidRPr="00A17522">
        <w:rPr>
          <w:lang w:val="fr-FR"/>
        </w:rPr>
        <w:t xml:space="preserve"> </w:t>
      </w:r>
      <w:r w:rsidRPr="00C168E9">
        <w:rPr>
          <w:i/>
          <w:iCs/>
          <w:lang w:val="fr-FR"/>
        </w:rPr>
        <w:t xml:space="preserve">Biscuits Poult v </w:t>
      </w:r>
      <w:proofErr w:type="spellStart"/>
      <w:r w:rsidRPr="00C168E9">
        <w:rPr>
          <w:i/>
          <w:iCs/>
          <w:lang w:val="fr-FR"/>
        </w:rPr>
        <w:t>Banketbakkerij</w:t>
      </w:r>
      <w:proofErr w:type="spellEnd"/>
      <w:r w:rsidRPr="00C168E9">
        <w:rPr>
          <w:i/>
          <w:iCs/>
          <w:lang w:val="fr-FR"/>
        </w:rPr>
        <w:t xml:space="preserve"> </w:t>
      </w:r>
      <w:proofErr w:type="spellStart"/>
      <w:r w:rsidRPr="00C168E9">
        <w:rPr>
          <w:i/>
          <w:iCs/>
          <w:lang w:val="fr-FR"/>
        </w:rPr>
        <w:t>Merva</w:t>
      </w:r>
      <w:proofErr w:type="spellEnd"/>
      <w:r w:rsidRPr="00772C79">
        <w:rPr>
          <w:lang w:val="fr-FR"/>
        </w:rPr>
        <w:t xml:space="preserve"> Case T-494/12 </w:t>
      </w:r>
      <w:proofErr w:type="gramStart"/>
      <w:r w:rsidRPr="00772C79">
        <w:rPr>
          <w:lang w:val="fr-FR"/>
        </w:rPr>
        <w:t>EU:T</w:t>
      </w:r>
      <w:proofErr w:type="gramEnd"/>
      <w:r>
        <w:rPr>
          <w:lang w:val="fr-FR"/>
        </w:rPr>
        <w:t xml:space="preserve">2014757. </w:t>
      </w:r>
      <w:r w:rsidRPr="00BB0236">
        <w:t>See further K Maciaszek, ‘</w:t>
      </w:r>
      <w:proofErr w:type="gramStart"/>
      <w:r w:rsidR="00F43C17" w:rsidRPr="00BB0236">
        <w:t>Poland:</w:t>
      </w:r>
      <w:proofErr w:type="gramEnd"/>
      <w:r w:rsidRPr="00BB0236">
        <w:t xml:space="preserve"> are the d</w:t>
      </w:r>
      <w:r>
        <w:t>esigns within an ice-cream to be registered as an industrial design’ [2012] EIPR 656.</w:t>
      </w:r>
    </w:p>
  </w:footnote>
  <w:footnote w:id="39">
    <w:p w14:paraId="37DC4627" w14:textId="165A7ACE" w:rsidR="00EB11C9" w:rsidRPr="002C44CF" w:rsidRDefault="00EB11C9" w:rsidP="006B440C">
      <w:pPr>
        <w:pStyle w:val="FootnoteText"/>
        <w:jc w:val="both"/>
      </w:pPr>
      <w:r w:rsidRPr="002C44CF">
        <w:rPr>
          <w:rStyle w:val="FootnoteReference"/>
        </w:rPr>
        <w:footnoteRef/>
      </w:r>
      <w:r w:rsidRPr="002C44CF">
        <w:t xml:space="preserve"> Bently notes that the </w:t>
      </w:r>
      <w:r w:rsidRPr="002C44CF">
        <w:rPr>
          <w:rFonts w:cstheme="minorHAnsi"/>
          <w:lang w:val="en-US"/>
        </w:rPr>
        <w:t>inside of a luggage may be protected</w:t>
      </w:r>
      <w:r w:rsidR="002C44CF" w:rsidRPr="002C44CF">
        <w:rPr>
          <w:rFonts w:cstheme="minorHAnsi"/>
          <w:lang w:val="en-US"/>
        </w:rPr>
        <w:t xml:space="preserve">, in </w:t>
      </w:r>
      <w:r w:rsidR="006B440C">
        <w:t xml:space="preserve">Lionel Bently and others, </w:t>
      </w:r>
      <w:r w:rsidR="006B440C" w:rsidRPr="006B440C">
        <w:rPr>
          <w:i/>
          <w:iCs/>
        </w:rPr>
        <w:t>Intellectual Propert</w:t>
      </w:r>
      <w:r w:rsidR="006B440C">
        <w:rPr>
          <w:i/>
          <w:iCs/>
        </w:rPr>
        <w:t>y Law</w:t>
      </w:r>
      <w:r w:rsidR="006B440C">
        <w:t xml:space="preserve"> (6</w:t>
      </w:r>
      <w:r w:rsidR="006B440C" w:rsidRPr="009F27AF">
        <w:rPr>
          <w:vertAlign w:val="superscript"/>
        </w:rPr>
        <w:t>th</w:t>
      </w:r>
      <w:r w:rsidR="006B440C">
        <w:t xml:space="preserve"> </w:t>
      </w:r>
      <w:proofErr w:type="spellStart"/>
      <w:r w:rsidR="006B440C">
        <w:t>edn</w:t>
      </w:r>
      <w:proofErr w:type="spellEnd"/>
      <w:r w:rsidR="006B440C">
        <w:t xml:space="preserve">, OUP 2022) </w:t>
      </w:r>
      <w:r w:rsidR="002C44CF" w:rsidRPr="002C44CF">
        <w:rPr>
          <w:rFonts w:cstheme="minorHAnsi"/>
          <w:lang w:val="en-US"/>
        </w:rPr>
        <w:t>7</w:t>
      </w:r>
      <w:r w:rsidRPr="002C44CF">
        <w:t>52</w:t>
      </w:r>
      <w:r w:rsidR="002C44CF" w:rsidRPr="002C44CF">
        <w:t>.</w:t>
      </w:r>
    </w:p>
  </w:footnote>
  <w:footnote w:id="40">
    <w:p w14:paraId="0C7FA5E5" w14:textId="77777777" w:rsidR="001E2632" w:rsidRPr="0039201D" w:rsidRDefault="001E2632" w:rsidP="001E2632">
      <w:pPr>
        <w:pStyle w:val="FootnoteText"/>
        <w:jc w:val="both"/>
      </w:pPr>
      <w:r>
        <w:rPr>
          <w:rStyle w:val="FootnoteReference"/>
        </w:rPr>
        <w:footnoteRef/>
      </w:r>
      <w:r>
        <w:t xml:space="preserve"> Article 5.1 Regulation. </w:t>
      </w:r>
    </w:p>
  </w:footnote>
  <w:footnote w:id="41">
    <w:p w14:paraId="016756BD" w14:textId="77777777" w:rsidR="001E2632" w:rsidRPr="00086948" w:rsidRDefault="001E2632" w:rsidP="001E2632">
      <w:pPr>
        <w:pStyle w:val="FootnoteText"/>
        <w:jc w:val="both"/>
      </w:pPr>
      <w:r>
        <w:rPr>
          <w:rStyle w:val="FootnoteReference"/>
        </w:rPr>
        <w:footnoteRef/>
      </w:r>
      <w:r>
        <w:t xml:space="preserve"> </w:t>
      </w:r>
      <w:r w:rsidRPr="00B8154F">
        <w:t xml:space="preserve">Article </w:t>
      </w:r>
      <w:r>
        <w:t>5</w:t>
      </w:r>
      <w:r w:rsidRPr="00B8154F">
        <w:t>.1</w:t>
      </w:r>
      <w:r>
        <w:t>(b)</w:t>
      </w:r>
      <w:r w:rsidRPr="00B8154F">
        <w:t xml:space="preserve"> Regulation.</w:t>
      </w:r>
    </w:p>
  </w:footnote>
  <w:footnote w:id="42">
    <w:p w14:paraId="21344C5B" w14:textId="184C43CD" w:rsidR="008E59D8" w:rsidRPr="007D4F67" w:rsidRDefault="008E59D8" w:rsidP="008E59D8">
      <w:pPr>
        <w:pStyle w:val="FootnoteText"/>
        <w:jc w:val="both"/>
      </w:pPr>
      <w:r>
        <w:rPr>
          <w:rStyle w:val="FootnoteReference"/>
        </w:rPr>
        <w:footnoteRef/>
      </w:r>
      <w:r>
        <w:t xml:space="preserve"> Spanish Supreme Court, </w:t>
      </w:r>
      <w:r w:rsidRPr="00E379D9">
        <w:rPr>
          <w:i/>
          <w:iCs/>
        </w:rPr>
        <w:t xml:space="preserve">Original Buff, SA v </w:t>
      </w:r>
      <w:proofErr w:type="gramStart"/>
      <w:r w:rsidRPr="00E379D9">
        <w:rPr>
          <w:i/>
          <w:iCs/>
        </w:rPr>
        <w:t>The</w:t>
      </w:r>
      <w:proofErr w:type="gramEnd"/>
      <w:r w:rsidRPr="00E379D9">
        <w:rPr>
          <w:i/>
          <w:iCs/>
        </w:rPr>
        <w:t xml:space="preserve"> </w:t>
      </w:r>
      <w:r w:rsidR="00E379D9" w:rsidRPr="00E379D9">
        <w:rPr>
          <w:i/>
          <w:iCs/>
        </w:rPr>
        <w:t>owner</w:t>
      </w:r>
      <w:r w:rsidRPr="00E379D9">
        <w:rPr>
          <w:i/>
          <w:iCs/>
        </w:rPr>
        <w:t xml:space="preserve"> of the Spanish industrial </w:t>
      </w:r>
      <w:r w:rsidR="00E379D9" w:rsidRPr="00E379D9">
        <w:rPr>
          <w:i/>
          <w:iCs/>
        </w:rPr>
        <w:t>design</w:t>
      </w:r>
      <w:r w:rsidRPr="00E379D9">
        <w:rPr>
          <w:i/>
          <w:iCs/>
        </w:rPr>
        <w:t xml:space="preserve"> No 514810-01 and No 514810-02, </w:t>
      </w:r>
      <w:r>
        <w:t>decision No 608/2021, 16 September 2021.</w:t>
      </w:r>
    </w:p>
  </w:footnote>
  <w:footnote w:id="43">
    <w:p w14:paraId="77724690" w14:textId="1692AC1A" w:rsidR="009A5C51" w:rsidRDefault="009A5C51">
      <w:pPr>
        <w:pStyle w:val="FootnoteText"/>
      </w:pPr>
      <w:r>
        <w:rPr>
          <w:rStyle w:val="FootnoteReference"/>
        </w:rPr>
        <w:footnoteRef/>
      </w:r>
      <w:r>
        <w:t xml:space="preserve"> </w:t>
      </w:r>
      <w:r w:rsidRPr="00E37E51">
        <w:rPr>
          <w:rFonts w:cstheme="minorHAnsi"/>
          <w:lang w:val="en-US"/>
        </w:rPr>
        <w:t>Article 7 Regulation and Article 6 Directive</w:t>
      </w:r>
      <w:r w:rsidR="00E379D9" w:rsidRPr="00E37E51">
        <w:rPr>
          <w:rFonts w:cstheme="minorHAnsi"/>
          <w:lang w:val="en-US"/>
        </w:rPr>
        <w:t>.</w:t>
      </w:r>
    </w:p>
  </w:footnote>
  <w:footnote w:id="44">
    <w:p w14:paraId="5B43FD26" w14:textId="176B02CE" w:rsidR="009A5C51" w:rsidRPr="0006324D" w:rsidRDefault="009A5C51" w:rsidP="009A5C51">
      <w:pPr>
        <w:pStyle w:val="FootnoteText"/>
        <w:jc w:val="both"/>
      </w:pPr>
      <w:r>
        <w:rPr>
          <w:rStyle w:val="FootnoteReference"/>
        </w:rPr>
        <w:footnoteRef/>
      </w:r>
      <w:r>
        <w:t xml:space="preserve"> </w:t>
      </w:r>
      <w:r w:rsidRPr="003625B0">
        <w:t>Marie-Astrid Huemer</w:t>
      </w:r>
      <w:r>
        <w:t xml:space="preserve">, </w:t>
      </w:r>
      <w:r w:rsidRPr="0006324D">
        <w:t>Revision of Directive 98/71/EC on the</w:t>
      </w:r>
      <w:r>
        <w:t xml:space="preserve"> </w:t>
      </w:r>
      <w:r w:rsidRPr="0006324D">
        <w:t>legal protection of designs and of</w:t>
      </w:r>
      <w:r>
        <w:t xml:space="preserve"> </w:t>
      </w:r>
      <w:r w:rsidRPr="0006324D">
        <w:t>Regulation(EC) No 6/2002 on Community design</w:t>
      </w:r>
      <w:r>
        <w:t xml:space="preserve">s (European Parliamentary Research Unit, </w:t>
      </w:r>
      <w:r w:rsidRPr="00E93BB2">
        <w:t>BRIEFING</w:t>
      </w:r>
      <w:r>
        <w:t xml:space="preserve"> </w:t>
      </w:r>
      <w:r w:rsidRPr="00E93BB2">
        <w:t>Implementation Appraisa</w:t>
      </w:r>
      <w:r>
        <w:t xml:space="preserve">l, May 2020) </w:t>
      </w:r>
      <w:hyperlink r:id="rId4" w:history="1">
        <w:r w:rsidRPr="00B546A2">
          <w:rPr>
            <w:rStyle w:val="Hyperlink"/>
          </w:rPr>
          <w:t>https://www.europarl.europa.eu/RegData/etudes/BRIE/2022/730318/EPRS_BRI(2022)730318_EN.pdf</w:t>
        </w:r>
      </w:hyperlink>
      <w:r>
        <w:t>&gt; accessed 30 September 2023.</w:t>
      </w:r>
    </w:p>
  </w:footnote>
  <w:footnote w:id="45">
    <w:p w14:paraId="3AD8CC30" w14:textId="0D5352C3" w:rsidR="00BE09EB" w:rsidRPr="00BE09EB" w:rsidRDefault="00BE09EB" w:rsidP="00BF5CDB">
      <w:pPr>
        <w:pStyle w:val="FootnoteText"/>
        <w:jc w:val="both"/>
      </w:pPr>
      <w:r>
        <w:rPr>
          <w:rStyle w:val="FootnoteReference"/>
        </w:rPr>
        <w:footnoteRef/>
      </w:r>
      <w:r>
        <w:t xml:space="preserve"> </w:t>
      </w:r>
      <w:r w:rsidR="00796525">
        <w:t xml:space="preserve">Higher Regional Court of </w:t>
      </w:r>
      <w:proofErr w:type="spellStart"/>
      <w:r w:rsidR="00796525">
        <w:t>D</w:t>
      </w:r>
      <w:r w:rsidR="005150D6">
        <w:t>u</w:t>
      </w:r>
      <w:r w:rsidR="00796525">
        <w:t>sserldorf</w:t>
      </w:r>
      <w:proofErr w:type="spellEnd"/>
      <w:r w:rsidR="00796525">
        <w:t>, judgement dated 24 April 2019 – I-20 U 103/18</w:t>
      </w:r>
      <w:r w:rsidR="005150D6">
        <w:t>.</w:t>
      </w:r>
    </w:p>
  </w:footnote>
  <w:footnote w:id="46">
    <w:p w14:paraId="776C5397" w14:textId="37332EAA" w:rsidR="00E26B64" w:rsidRPr="008736BD" w:rsidRDefault="00E26B64" w:rsidP="00E26B64">
      <w:pPr>
        <w:pStyle w:val="FootnoteText"/>
        <w:jc w:val="both"/>
      </w:pPr>
      <w:r>
        <w:rPr>
          <w:rStyle w:val="FootnoteReference"/>
        </w:rPr>
        <w:footnoteRef/>
      </w:r>
      <w:r w:rsidRPr="008736BD">
        <w:t xml:space="preserve"> Article 6.1 </w:t>
      </w:r>
      <w:r w:rsidR="00E379D9" w:rsidRPr="008736BD">
        <w:t>Regulation.</w:t>
      </w:r>
    </w:p>
  </w:footnote>
  <w:footnote w:id="47">
    <w:p w14:paraId="6D75334D" w14:textId="77777777" w:rsidR="00E26B64" w:rsidRPr="00DC4CB3" w:rsidRDefault="00E26B64" w:rsidP="00E26B64">
      <w:pPr>
        <w:pStyle w:val="FootnoteText"/>
        <w:jc w:val="both"/>
      </w:pPr>
      <w:r>
        <w:rPr>
          <w:rStyle w:val="FootnoteReference"/>
        </w:rPr>
        <w:footnoteRef/>
      </w:r>
      <w:r w:rsidRPr="00DC4CB3">
        <w:t xml:space="preserve"> Article 6.1(b) Regulation.</w:t>
      </w:r>
    </w:p>
  </w:footnote>
  <w:footnote w:id="48">
    <w:p w14:paraId="7B317BAC" w14:textId="13E113CD" w:rsidR="00C31518" w:rsidRPr="00581E00" w:rsidRDefault="00C31518" w:rsidP="00C31518">
      <w:pPr>
        <w:pStyle w:val="FootnoteText"/>
        <w:jc w:val="both"/>
      </w:pPr>
      <w:r>
        <w:rPr>
          <w:rStyle w:val="FootnoteReference"/>
        </w:rPr>
        <w:footnoteRef/>
      </w:r>
      <w:r w:rsidRPr="00581E00">
        <w:t xml:space="preserve"> </w:t>
      </w:r>
      <w:r w:rsidR="00E379D9" w:rsidRPr="00581E00">
        <w:t>Article</w:t>
      </w:r>
      <w:r w:rsidRPr="00581E00">
        <w:t xml:space="preserve"> 10.2 </w:t>
      </w:r>
      <w:r w:rsidR="00E379D9" w:rsidRPr="00581E00">
        <w:t>Regulation</w:t>
      </w:r>
      <w:r w:rsidR="009E5DD9" w:rsidRPr="00581E00">
        <w:t xml:space="preserve"> and</w:t>
      </w:r>
      <w:r w:rsidRPr="00581E00">
        <w:t xml:space="preserve"> Article 5.2 Directive.</w:t>
      </w:r>
    </w:p>
  </w:footnote>
  <w:footnote w:id="49">
    <w:p w14:paraId="7558E8EC" w14:textId="7D394539" w:rsidR="00C12DCA" w:rsidRPr="00581E00" w:rsidRDefault="00C12DCA" w:rsidP="00C12DCA">
      <w:pPr>
        <w:pStyle w:val="FootnoteText"/>
        <w:jc w:val="both"/>
      </w:pPr>
      <w:r>
        <w:rPr>
          <w:rStyle w:val="FootnoteReference"/>
        </w:rPr>
        <w:footnoteRef/>
      </w:r>
      <w:r w:rsidRPr="00581E00">
        <w:t xml:space="preserve"> </w:t>
      </w:r>
      <w:r w:rsidR="00914148" w:rsidRPr="0031069C">
        <w:t xml:space="preserve">Estelle </w:t>
      </w:r>
      <w:proofErr w:type="spellStart"/>
      <w:r w:rsidR="00914148" w:rsidRPr="0031069C">
        <w:t>Derclaye</w:t>
      </w:r>
      <w:proofErr w:type="spellEnd"/>
      <w:r w:rsidR="00914148" w:rsidRPr="0031069C">
        <w:t>, ‘Are fashion designers better protected in Europe than in the United Kingdom: a comparative analysis of the recent case law in France, Italy and the United Kingdom’ (2010) 13(3) Journal of World Intellectual Property 3</w:t>
      </w:r>
      <w:r w:rsidRPr="00581E00">
        <w:t>36.</w:t>
      </w:r>
    </w:p>
  </w:footnote>
  <w:footnote w:id="50">
    <w:p w14:paraId="1099021E" w14:textId="77777777" w:rsidR="00C809E0" w:rsidRPr="00581E00" w:rsidRDefault="00C809E0" w:rsidP="00C809E0">
      <w:pPr>
        <w:pStyle w:val="FootnoteText"/>
        <w:jc w:val="both"/>
        <w:rPr>
          <w:lang w:val="sv-SE"/>
        </w:rPr>
      </w:pPr>
      <w:r>
        <w:rPr>
          <w:rStyle w:val="FootnoteReference"/>
        </w:rPr>
        <w:footnoteRef/>
      </w:r>
      <w:r w:rsidRPr="00581E00">
        <w:rPr>
          <w:lang w:val="sv-SE"/>
        </w:rPr>
        <w:t xml:space="preserve"> BGH judgement dated 20 December 2018 – I ZB 26/18.</w:t>
      </w:r>
    </w:p>
  </w:footnote>
  <w:footnote w:id="51">
    <w:p w14:paraId="3D9C7325" w14:textId="4773792A" w:rsidR="00BA4B77" w:rsidRPr="00603A6C" w:rsidRDefault="00BA4B77" w:rsidP="00BA4B77">
      <w:pPr>
        <w:pStyle w:val="FootnoteText"/>
        <w:jc w:val="both"/>
        <w:rPr>
          <w:lang w:val="sv-SE"/>
        </w:rPr>
      </w:pPr>
      <w:r>
        <w:rPr>
          <w:rStyle w:val="FootnoteReference"/>
        </w:rPr>
        <w:footnoteRef/>
      </w:r>
      <w:r w:rsidRPr="00603A6C">
        <w:rPr>
          <w:lang w:val="sv-SE"/>
        </w:rPr>
        <w:t xml:space="preserve"> </w:t>
      </w:r>
      <w:r w:rsidRPr="00603A6C">
        <w:rPr>
          <w:i/>
          <w:iCs/>
          <w:lang w:val="sv-SE"/>
        </w:rPr>
        <w:t>Karen Millen Fashion Ltd v Dunnes Stores</w:t>
      </w:r>
      <w:r w:rsidRPr="00603A6C">
        <w:rPr>
          <w:lang w:val="sv-SE"/>
        </w:rPr>
        <w:t xml:space="preserve"> C-345/13 EU:C:2014:2013</w:t>
      </w:r>
      <w:r w:rsidR="009E5DD9">
        <w:rPr>
          <w:lang w:val="sv-SE"/>
        </w:rPr>
        <w:t>.</w:t>
      </w:r>
    </w:p>
  </w:footnote>
  <w:footnote w:id="52">
    <w:p w14:paraId="10ACE3F6" w14:textId="600228C8" w:rsidR="00194661" w:rsidRPr="00581E00" w:rsidRDefault="00194661" w:rsidP="00BF5CDB">
      <w:pPr>
        <w:pStyle w:val="FootnoteText"/>
        <w:jc w:val="both"/>
      </w:pPr>
      <w:r>
        <w:rPr>
          <w:rStyle w:val="FootnoteReference"/>
        </w:rPr>
        <w:footnoteRef/>
      </w:r>
      <w:r w:rsidRPr="00581E00">
        <w:t xml:space="preserve"> </w:t>
      </w:r>
      <w:r w:rsidR="00914148" w:rsidRPr="0031069C">
        <w:t xml:space="preserve">Estelle </w:t>
      </w:r>
      <w:proofErr w:type="spellStart"/>
      <w:r w:rsidR="00914148" w:rsidRPr="0031069C">
        <w:t>Derclaye</w:t>
      </w:r>
      <w:proofErr w:type="spellEnd"/>
      <w:r w:rsidR="00914148" w:rsidRPr="0031069C">
        <w:t>, ‘Are fashion designers better protected in Europe than in the United Kingdom: a comparative analysis of the recent case law in France, Italy and the United Kingdom’ (2010) 13(3) Journal of World Intellectual Property 3</w:t>
      </w:r>
      <w:r w:rsidRPr="00581E00">
        <w:t>37.</w:t>
      </w:r>
    </w:p>
  </w:footnote>
  <w:footnote w:id="53">
    <w:p w14:paraId="45076A0D" w14:textId="561A5890" w:rsidR="005120F8" w:rsidRPr="00C836AB" w:rsidRDefault="005120F8" w:rsidP="005120F8">
      <w:pPr>
        <w:pStyle w:val="FootnoteText"/>
        <w:jc w:val="both"/>
      </w:pPr>
      <w:r>
        <w:rPr>
          <w:rStyle w:val="FootnoteReference"/>
        </w:rPr>
        <w:footnoteRef/>
      </w:r>
      <w:r>
        <w:t xml:space="preserve"> </w:t>
      </w:r>
      <w:r w:rsidR="00E379D9">
        <w:t xml:space="preserve">Ibid </w:t>
      </w:r>
      <w:r>
        <w:t>331.</w:t>
      </w:r>
    </w:p>
  </w:footnote>
  <w:footnote w:id="54">
    <w:p w14:paraId="2385946E" w14:textId="27473489" w:rsidR="00AE5649" w:rsidRPr="002F419E" w:rsidRDefault="00AE5649" w:rsidP="00AE5649">
      <w:pPr>
        <w:pStyle w:val="FootnoteText"/>
        <w:jc w:val="both"/>
      </w:pPr>
      <w:r>
        <w:rPr>
          <w:rStyle w:val="FootnoteReference"/>
        </w:rPr>
        <w:footnoteRef/>
      </w:r>
      <w:r>
        <w:t xml:space="preserve"> </w:t>
      </w:r>
      <w:r w:rsidR="00E379D9">
        <w:t xml:space="preserve">Ibid </w:t>
      </w:r>
      <w:r>
        <w:t>333.</w:t>
      </w:r>
    </w:p>
  </w:footnote>
  <w:footnote w:id="55">
    <w:p w14:paraId="4B4E903D" w14:textId="72CC4462" w:rsidR="00563C9A" w:rsidRPr="00DC22A2" w:rsidRDefault="00563C9A" w:rsidP="00563C9A">
      <w:pPr>
        <w:pStyle w:val="FootnoteText"/>
        <w:jc w:val="both"/>
      </w:pPr>
      <w:r>
        <w:rPr>
          <w:rStyle w:val="FootnoteReference"/>
        </w:rPr>
        <w:footnoteRef/>
      </w:r>
      <w:r>
        <w:t xml:space="preserve"> </w:t>
      </w:r>
      <w:r w:rsidR="00040038">
        <w:t xml:space="preserve">Ibid </w:t>
      </w:r>
      <w:r>
        <w:t>335.</w:t>
      </w:r>
    </w:p>
  </w:footnote>
  <w:footnote w:id="56">
    <w:p w14:paraId="4659E2D5" w14:textId="4C6C11EB" w:rsidR="00563C9A" w:rsidRPr="00680926" w:rsidRDefault="00563C9A" w:rsidP="00563C9A">
      <w:pPr>
        <w:pStyle w:val="FootnoteText"/>
        <w:jc w:val="both"/>
      </w:pPr>
      <w:r>
        <w:rPr>
          <w:rStyle w:val="FootnoteReference"/>
        </w:rPr>
        <w:footnoteRef/>
      </w:r>
      <w:r>
        <w:t xml:space="preserve"> </w:t>
      </w:r>
      <w:r w:rsidR="00040038">
        <w:t xml:space="preserve">Ibid </w:t>
      </w:r>
      <w:r>
        <w:t>336.</w:t>
      </w:r>
    </w:p>
  </w:footnote>
  <w:footnote w:id="57">
    <w:p w14:paraId="3FF718E9" w14:textId="77777777" w:rsidR="005113E3" w:rsidRPr="00B814C2" w:rsidRDefault="005113E3" w:rsidP="005113E3">
      <w:pPr>
        <w:pStyle w:val="FootnoteText"/>
        <w:jc w:val="both"/>
      </w:pPr>
      <w:r>
        <w:rPr>
          <w:rStyle w:val="FootnoteReference"/>
        </w:rPr>
        <w:footnoteRef/>
      </w:r>
      <w:r>
        <w:t xml:space="preserve"> Uma </w:t>
      </w:r>
      <w:proofErr w:type="spellStart"/>
      <w:r>
        <w:t>Suthersamen</w:t>
      </w:r>
      <w:proofErr w:type="spellEnd"/>
      <w:r>
        <w:t xml:space="preserve">, </w:t>
      </w:r>
      <w:r w:rsidRPr="00B479D3">
        <w:rPr>
          <w:i/>
          <w:iCs/>
        </w:rPr>
        <w:t>Design law in Europe</w:t>
      </w:r>
      <w:r>
        <w:t xml:space="preserve"> (Sweet and Maxwell 2000) 39.</w:t>
      </w:r>
    </w:p>
  </w:footnote>
  <w:footnote w:id="58">
    <w:p w14:paraId="212F8D7E" w14:textId="77777777" w:rsidR="005E7E85" w:rsidRPr="00146A36" w:rsidRDefault="005E7E85" w:rsidP="005E7E85">
      <w:pPr>
        <w:pStyle w:val="FootnoteText"/>
        <w:jc w:val="both"/>
      </w:pPr>
      <w:r>
        <w:rPr>
          <w:rStyle w:val="FootnoteReference"/>
        </w:rPr>
        <w:footnoteRef/>
      </w:r>
      <w:r>
        <w:t xml:space="preserve"> </w:t>
      </w:r>
      <w:r w:rsidRPr="00E41D0A">
        <w:rPr>
          <w:i/>
          <w:iCs/>
        </w:rPr>
        <w:t>Procter &amp; Gamble Company v Reckitt Benckiser (UK) Ltd</w:t>
      </w:r>
      <w:r>
        <w:t xml:space="preserve"> [2007] EWCA </w:t>
      </w:r>
      <w:proofErr w:type="spellStart"/>
      <w:r>
        <w:t>Civ</w:t>
      </w:r>
      <w:proofErr w:type="spellEnd"/>
      <w:r>
        <w:t xml:space="preserve"> 936.</w:t>
      </w:r>
    </w:p>
  </w:footnote>
  <w:footnote w:id="59">
    <w:p w14:paraId="5B0EB70D" w14:textId="3CC15559" w:rsidR="00B70D86" w:rsidRPr="00BD418B" w:rsidRDefault="00B70D86" w:rsidP="00BF5CDB">
      <w:pPr>
        <w:pStyle w:val="FootnoteText"/>
        <w:jc w:val="both"/>
      </w:pPr>
      <w:r>
        <w:rPr>
          <w:rStyle w:val="FootnoteReference"/>
        </w:rPr>
        <w:footnoteRef/>
      </w:r>
      <w:r>
        <w:t xml:space="preserve"> </w:t>
      </w:r>
      <w:r w:rsidR="00386743">
        <w:t>i</w:t>
      </w:r>
      <w:r w:rsidR="00040038">
        <w:t xml:space="preserve">bid </w:t>
      </w:r>
      <w:r w:rsidRPr="00BD418B">
        <w:t>[53]</w:t>
      </w:r>
      <w:r w:rsidR="009212AE">
        <w:t>.</w:t>
      </w:r>
    </w:p>
  </w:footnote>
  <w:footnote w:id="60">
    <w:p w14:paraId="1E42157B" w14:textId="6936BC1E" w:rsidR="00B7599D" w:rsidRPr="00E37E51" w:rsidRDefault="00B7599D" w:rsidP="00B7599D">
      <w:pPr>
        <w:pStyle w:val="FootnoteText"/>
        <w:jc w:val="both"/>
      </w:pPr>
      <w:r>
        <w:rPr>
          <w:rStyle w:val="FootnoteReference"/>
        </w:rPr>
        <w:footnoteRef/>
      </w:r>
      <w:r w:rsidRPr="00E37E51">
        <w:t xml:space="preserve"> Article 8.1 </w:t>
      </w:r>
      <w:r w:rsidR="00040038" w:rsidRPr="00040038">
        <w:t>Regulation</w:t>
      </w:r>
      <w:r w:rsidR="00040038" w:rsidRPr="00E37E51">
        <w:t>;</w:t>
      </w:r>
      <w:r w:rsidRPr="00E37E51">
        <w:t xml:space="preserve"> Article 7.1 Directive.</w:t>
      </w:r>
    </w:p>
  </w:footnote>
  <w:footnote w:id="61">
    <w:p w14:paraId="26287176" w14:textId="77777777" w:rsidR="00BD418B" w:rsidRPr="00E37E51" w:rsidRDefault="00BD418B" w:rsidP="00BD418B">
      <w:pPr>
        <w:pStyle w:val="FootnoteText"/>
        <w:jc w:val="both"/>
      </w:pPr>
      <w:r>
        <w:rPr>
          <w:rStyle w:val="FootnoteReference"/>
        </w:rPr>
        <w:footnoteRef/>
      </w:r>
      <w:r w:rsidRPr="00E37E51">
        <w:t xml:space="preserve"> Article 8.3 Regulation.</w:t>
      </w:r>
    </w:p>
  </w:footnote>
  <w:footnote w:id="62">
    <w:p w14:paraId="61068152" w14:textId="6E679C1A" w:rsidR="00820704" w:rsidRPr="00DF5908" w:rsidRDefault="00820704" w:rsidP="00820704">
      <w:pPr>
        <w:pStyle w:val="FootnoteText"/>
        <w:jc w:val="both"/>
      </w:pPr>
      <w:r>
        <w:rPr>
          <w:rStyle w:val="FootnoteReference"/>
        </w:rPr>
        <w:footnoteRef/>
      </w:r>
      <w:r>
        <w:t xml:space="preserve"> </w:t>
      </w:r>
      <w:r w:rsidR="00914148" w:rsidRPr="0031069C">
        <w:t xml:space="preserve">Estelle </w:t>
      </w:r>
      <w:proofErr w:type="spellStart"/>
      <w:r w:rsidR="00914148" w:rsidRPr="0031069C">
        <w:t>Derclaye</w:t>
      </w:r>
      <w:proofErr w:type="spellEnd"/>
      <w:r w:rsidR="00914148" w:rsidRPr="0031069C">
        <w:t xml:space="preserve">, ‘Are fashion designers better protected in Europe than in the United Kingdom: a comparative analysis of the recent case law in France, Italy and the United Kingdom’ (2010) 13(3) Journal of World Intellectual Property </w:t>
      </w:r>
      <w:r>
        <w:t>333.</w:t>
      </w:r>
    </w:p>
  </w:footnote>
  <w:footnote w:id="63">
    <w:p w14:paraId="464A33FF" w14:textId="50E1EAF7" w:rsidR="008219CE" w:rsidRDefault="008219CE">
      <w:pPr>
        <w:pStyle w:val="FootnoteText"/>
      </w:pPr>
      <w:r>
        <w:rPr>
          <w:rStyle w:val="FootnoteReference"/>
        </w:rPr>
        <w:footnoteRef/>
      </w:r>
      <w:r>
        <w:t xml:space="preserve"> See </w:t>
      </w:r>
      <w:r w:rsidR="00107181" w:rsidRPr="00107181">
        <w:t>Case C</w:t>
      </w:r>
      <w:r w:rsidR="00107181" w:rsidRPr="00107181">
        <w:rPr>
          <w:rFonts w:ascii="Cambria Math" w:hAnsi="Cambria Math" w:cs="Cambria Math"/>
        </w:rPr>
        <w:t>‑</w:t>
      </w:r>
      <w:r w:rsidR="00107181" w:rsidRPr="00107181">
        <w:t>395/16</w:t>
      </w:r>
      <w:r w:rsidR="00107181">
        <w:t xml:space="preserve"> </w:t>
      </w:r>
      <w:r w:rsidR="00107181" w:rsidRPr="00DC4CB3">
        <w:rPr>
          <w:i/>
          <w:iCs/>
        </w:rPr>
        <w:t xml:space="preserve">DOCERAM GmbH v </w:t>
      </w:r>
      <w:proofErr w:type="spellStart"/>
      <w:r w:rsidR="00107181" w:rsidRPr="00DC4CB3">
        <w:rPr>
          <w:i/>
          <w:iCs/>
        </w:rPr>
        <w:t>CeramTec</w:t>
      </w:r>
      <w:proofErr w:type="spellEnd"/>
      <w:r w:rsidR="00107181" w:rsidRPr="00DC4CB3">
        <w:rPr>
          <w:i/>
          <w:iCs/>
        </w:rPr>
        <w:t xml:space="preserve"> GmbH,</w:t>
      </w:r>
      <w:r w:rsidR="00107181">
        <w:t xml:space="preserve"> and </w:t>
      </w:r>
      <w:r w:rsidR="00A16E44" w:rsidRPr="00A16E44">
        <w:t>Case C</w:t>
      </w:r>
      <w:r w:rsidR="00A16E44" w:rsidRPr="00A16E44">
        <w:rPr>
          <w:rFonts w:ascii="Cambria Math" w:hAnsi="Cambria Math" w:cs="Cambria Math"/>
        </w:rPr>
        <w:t>‑</w:t>
      </w:r>
      <w:r w:rsidR="00A16E44" w:rsidRPr="00A16E44">
        <w:t>684/21</w:t>
      </w:r>
      <w:r w:rsidR="003F3969" w:rsidRPr="003F3969">
        <w:t xml:space="preserve"> </w:t>
      </w:r>
      <w:proofErr w:type="spellStart"/>
      <w:r w:rsidR="003F3969" w:rsidRPr="00DC4CB3">
        <w:rPr>
          <w:i/>
          <w:iCs/>
        </w:rPr>
        <w:t>Papierfabriek</w:t>
      </w:r>
      <w:proofErr w:type="spellEnd"/>
      <w:r w:rsidR="003F3969" w:rsidRPr="00DC4CB3">
        <w:rPr>
          <w:i/>
          <w:iCs/>
        </w:rPr>
        <w:t xml:space="preserve"> </w:t>
      </w:r>
      <w:proofErr w:type="spellStart"/>
      <w:r w:rsidR="003F3969" w:rsidRPr="00DC4CB3">
        <w:rPr>
          <w:i/>
          <w:iCs/>
        </w:rPr>
        <w:t>Doetinchem</w:t>
      </w:r>
      <w:proofErr w:type="spellEnd"/>
      <w:r w:rsidR="003F3969" w:rsidRPr="00DC4CB3">
        <w:rPr>
          <w:i/>
          <w:iCs/>
        </w:rPr>
        <w:t xml:space="preserve"> BV v Sprick GmbH </w:t>
      </w:r>
      <w:proofErr w:type="spellStart"/>
      <w:r w:rsidR="003F3969" w:rsidRPr="00DC4CB3">
        <w:rPr>
          <w:i/>
          <w:iCs/>
        </w:rPr>
        <w:t>Bielefelder</w:t>
      </w:r>
      <w:proofErr w:type="spellEnd"/>
      <w:r w:rsidR="003F3969" w:rsidRPr="00DC4CB3">
        <w:rPr>
          <w:i/>
          <w:iCs/>
        </w:rPr>
        <w:t xml:space="preserve"> Papier- und Wellpappenwerk &amp; Co</w:t>
      </w:r>
      <w:r w:rsidR="003F3969">
        <w:t>.</w:t>
      </w:r>
    </w:p>
  </w:footnote>
  <w:footnote w:id="64">
    <w:p w14:paraId="54542F5B" w14:textId="12AABFEA" w:rsidR="00563EDC" w:rsidRPr="00E4757E" w:rsidRDefault="00563EDC" w:rsidP="00563EDC">
      <w:pPr>
        <w:pStyle w:val="FootnoteText"/>
        <w:jc w:val="both"/>
      </w:pPr>
      <w:r>
        <w:rPr>
          <w:rStyle w:val="FootnoteReference"/>
        </w:rPr>
        <w:footnoteRef/>
      </w:r>
      <w:r>
        <w:t xml:space="preserve"> Due to the scope of this chapter, the theories </w:t>
      </w:r>
      <w:r w:rsidR="00F26EA3">
        <w:t>are</w:t>
      </w:r>
      <w:r w:rsidR="00A62E24">
        <w:t xml:space="preserve"> not</w:t>
      </w:r>
      <w:r>
        <w:t xml:space="preserve"> studied. </w:t>
      </w:r>
    </w:p>
  </w:footnote>
  <w:footnote w:id="65">
    <w:p w14:paraId="5C120993" w14:textId="77777777" w:rsidR="0017680F" w:rsidRPr="00624DF5" w:rsidRDefault="0017680F" w:rsidP="0017680F">
      <w:pPr>
        <w:pStyle w:val="FootnoteText"/>
        <w:jc w:val="both"/>
      </w:pPr>
      <w:r>
        <w:rPr>
          <w:rStyle w:val="FootnoteReference"/>
        </w:rPr>
        <w:footnoteRef/>
      </w:r>
      <w:r>
        <w:t xml:space="preserve"> See AG in Case C</w:t>
      </w:r>
      <w:r>
        <w:rPr>
          <w:rFonts w:ascii="Cambria Math" w:hAnsi="Cambria Math" w:cs="Cambria Math"/>
        </w:rPr>
        <w:t>‑</w:t>
      </w:r>
      <w:r>
        <w:t xml:space="preserve">395/16 </w:t>
      </w:r>
      <w:r w:rsidRPr="00624DF5">
        <w:rPr>
          <w:i/>
          <w:iCs/>
        </w:rPr>
        <w:t xml:space="preserve">DOCERAM GmbH v </w:t>
      </w:r>
      <w:proofErr w:type="spellStart"/>
      <w:r w:rsidRPr="00624DF5">
        <w:rPr>
          <w:i/>
          <w:iCs/>
        </w:rPr>
        <w:t>CeramTec</w:t>
      </w:r>
      <w:proofErr w:type="spellEnd"/>
      <w:r w:rsidRPr="00624DF5">
        <w:rPr>
          <w:i/>
          <w:iCs/>
        </w:rPr>
        <w:t xml:space="preserve"> GmbH</w:t>
      </w:r>
      <w:r>
        <w:rPr>
          <w:i/>
          <w:iCs/>
        </w:rPr>
        <w:t>.</w:t>
      </w:r>
    </w:p>
  </w:footnote>
  <w:footnote w:id="66">
    <w:p w14:paraId="3FEAAB28" w14:textId="5FF401CF" w:rsidR="00467332" w:rsidRPr="007E2F82" w:rsidRDefault="00467332" w:rsidP="00467332">
      <w:pPr>
        <w:pStyle w:val="FootnoteText"/>
        <w:jc w:val="both"/>
      </w:pPr>
      <w:r>
        <w:rPr>
          <w:rStyle w:val="FootnoteReference"/>
        </w:rPr>
        <w:footnoteRef/>
      </w:r>
      <w:r>
        <w:t xml:space="preserve"> </w:t>
      </w:r>
      <w:r w:rsidR="00386743">
        <w:t>i</w:t>
      </w:r>
      <w:r w:rsidR="00040038">
        <w:t>bid.</w:t>
      </w:r>
    </w:p>
  </w:footnote>
  <w:footnote w:id="67">
    <w:p w14:paraId="03C23E14" w14:textId="77777777" w:rsidR="00F94C7C" w:rsidRPr="001C728A" w:rsidRDefault="00F94C7C" w:rsidP="00F94C7C">
      <w:pPr>
        <w:pStyle w:val="FootnoteText"/>
        <w:jc w:val="both"/>
      </w:pPr>
      <w:r>
        <w:rPr>
          <w:rStyle w:val="FootnoteReference"/>
        </w:rPr>
        <w:footnoteRef/>
      </w:r>
      <w:r>
        <w:t xml:space="preserve"> </w:t>
      </w:r>
      <w:r w:rsidRPr="001C728A">
        <w:rPr>
          <w:i/>
          <w:iCs/>
        </w:rPr>
        <w:t>Landor &amp; Hawa International Ltd v Azure Designs Ltd</w:t>
      </w:r>
      <w:r w:rsidRPr="001C728A">
        <w:t xml:space="preserve"> [2006] EWCA 1285</w:t>
      </w:r>
      <w:r>
        <w:t>.</w:t>
      </w:r>
    </w:p>
  </w:footnote>
  <w:footnote w:id="68">
    <w:p w14:paraId="1CFA2C2E" w14:textId="5465CD22" w:rsidR="00146752" w:rsidRPr="003610DD" w:rsidRDefault="00146752" w:rsidP="00146752">
      <w:pPr>
        <w:pStyle w:val="FootnoteText"/>
        <w:jc w:val="both"/>
      </w:pPr>
      <w:r>
        <w:rPr>
          <w:rStyle w:val="FootnoteReference"/>
        </w:rPr>
        <w:footnoteRef/>
      </w:r>
      <w:r>
        <w:t xml:space="preserve"> </w:t>
      </w:r>
      <w:r w:rsidR="00914148" w:rsidRPr="0031069C">
        <w:t xml:space="preserve">Estelle </w:t>
      </w:r>
      <w:proofErr w:type="spellStart"/>
      <w:r w:rsidR="00914148" w:rsidRPr="0031069C">
        <w:t>Derclaye</w:t>
      </w:r>
      <w:proofErr w:type="spellEnd"/>
      <w:r w:rsidR="00914148" w:rsidRPr="0031069C">
        <w:t>, ‘Are fashion designers better protected in Europe than in the United Kingdom: a comparative analysis of the recent case law in France, Italy and the United Kingdom’ (2010) 13(3) Journal of World Intellectual Property 3</w:t>
      </w:r>
      <w:r>
        <w:t>33.</w:t>
      </w:r>
    </w:p>
  </w:footnote>
  <w:footnote w:id="69">
    <w:p w14:paraId="50CB7E0A" w14:textId="61013F16" w:rsidR="00146752" w:rsidRPr="00386743" w:rsidRDefault="00146752" w:rsidP="00146752">
      <w:pPr>
        <w:pStyle w:val="FootnoteText"/>
        <w:jc w:val="both"/>
        <w:rPr>
          <w:rFonts w:cstheme="minorHAnsi"/>
        </w:rPr>
      </w:pPr>
      <w:r>
        <w:rPr>
          <w:rStyle w:val="FootnoteReference"/>
        </w:rPr>
        <w:footnoteRef/>
      </w:r>
      <w:r>
        <w:t xml:space="preserve"> </w:t>
      </w:r>
      <w:r w:rsidRPr="00E37E51">
        <w:rPr>
          <w:rFonts w:cstheme="minorHAnsi"/>
          <w:color w:val="000000"/>
          <w:shd w:val="clear" w:color="auto" w:fill="FFFFFF"/>
        </w:rPr>
        <w:t xml:space="preserve">Article 9 </w:t>
      </w:r>
      <w:r w:rsidR="00322AB7" w:rsidRPr="00E37E51">
        <w:rPr>
          <w:rFonts w:cstheme="minorHAnsi"/>
          <w:color w:val="000000"/>
          <w:shd w:val="clear" w:color="auto" w:fill="FFFFFF"/>
        </w:rPr>
        <w:t>RCD</w:t>
      </w:r>
      <w:r w:rsidRPr="00E37E51">
        <w:rPr>
          <w:rFonts w:cstheme="minorHAnsi"/>
          <w:color w:val="000000"/>
          <w:shd w:val="clear" w:color="auto" w:fill="FFFFFF"/>
        </w:rPr>
        <w:t>.</w:t>
      </w:r>
    </w:p>
  </w:footnote>
  <w:footnote w:id="70">
    <w:p w14:paraId="6DD97B48" w14:textId="39CCF2AB" w:rsidR="0041165A" w:rsidRPr="00DD676B" w:rsidRDefault="0041165A" w:rsidP="0041165A">
      <w:pPr>
        <w:pStyle w:val="FootnoteText"/>
        <w:jc w:val="both"/>
      </w:pPr>
      <w:r>
        <w:rPr>
          <w:rStyle w:val="FootnoteReference"/>
        </w:rPr>
        <w:footnoteRef/>
      </w:r>
      <w:r>
        <w:t xml:space="preserve"> </w:t>
      </w:r>
      <w:r w:rsidR="00A62E24">
        <w:t xml:space="preserve">Lionel Bently and others, </w:t>
      </w:r>
      <w:r w:rsidR="00A62E24" w:rsidRPr="006B440C">
        <w:rPr>
          <w:i/>
          <w:iCs/>
        </w:rPr>
        <w:t>Intellectual Propert</w:t>
      </w:r>
      <w:r w:rsidR="00A62E24">
        <w:rPr>
          <w:i/>
          <w:iCs/>
        </w:rPr>
        <w:t>y Law</w:t>
      </w:r>
      <w:r w:rsidR="00A62E24">
        <w:t xml:space="preserve"> (6</w:t>
      </w:r>
      <w:r w:rsidR="00A62E24" w:rsidRPr="009F27AF">
        <w:rPr>
          <w:vertAlign w:val="superscript"/>
        </w:rPr>
        <w:t>th</w:t>
      </w:r>
      <w:r w:rsidR="00A62E24">
        <w:t xml:space="preserve"> </w:t>
      </w:r>
      <w:proofErr w:type="spellStart"/>
      <w:r w:rsidR="00A62E24">
        <w:t>edn</w:t>
      </w:r>
      <w:proofErr w:type="spellEnd"/>
      <w:r w:rsidR="00A62E24">
        <w:t xml:space="preserve">, OUP 2022) </w:t>
      </w:r>
      <w:r w:rsidRPr="00DD676B">
        <w:t>765.</w:t>
      </w:r>
    </w:p>
  </w:footnote>
  <w:footnote w:id="71">
    <w:p w14:paraId="0446C905" w14:textId="704CD3C6" w:rsidR="0041165A" w:rsidRPr="00DD676B" w:rsidRDefault="0041165A" w:rsidP="0041165A">
      <w:pPr>
        <w:pStyle w:val="FootnoteText"/>
        <w:jc w:val="both"/>
      </w:pPr>
      <w:r>
        <w:rPr>
          <w:rStyle w:val="FootnoteReference"/>
        </w:rPr>
        <w:footnoteRef/>
      </w:r>
      <w:r>
        <w:t xml:space="preserve"> </w:t>
      </w:r>
      <w:r w:rsidRPr="00E37E51">
        <w:rPr>
          <w:rFonts w:cstheme="minorHAnsi"/>
          <w:color w:val="000000"/>
          <w:shd w:val="clear" w:color="auto" w:fill="FFFFFF"/>
        </w:rPr>
        <w:t xml:space="preserve">Article 25(1)(b) </w:t>
      </w:r>
      <w:r w:rsidR="00322AB7" w:rsidRPr="00E37E51">
        <w:rPr>
          <w:rFonts w:cstheme="minorHAnsi"/>
          <w:color w:val="000000"/>
          <w:shd w:val="clear" w:color="auto" w:fill="FFFFFF"/>
        </w:rPr>
        <w:t>RCD</w:t>
      </w:r>
    </w:p>
  </w:footnote>
  <w:footnote w:id="72">
    <w:p w14:paraId="4D6771F2" w14:textId="33BB6C75" w:rsidR="00D64729" w:rsidRPr="00D64729" w:rsidRDefault="00D64729" w:rsidP="00BF5CDB">
      <w:pPr>
        <w:pStyle w:val="FootnoteText"/>
        <w:jc w:val="both"/>
      </w:pPr>
      <w:r>
        <w:rPr>
          <w:rStyle w:val="FootnoteReference"/>
        </w:rPr>
        <w:footnoteRef/>
      </w:r>
      <w:r>
        <w:t xml:space="preserve"> </w:t>
      </w:r>
      <w:r w:rsidR="005A75CF" w:rsidRPr="002B1F62">
        <w:t xml:space="preserve">Rosie Burbidge, </w:t>
      </w:r>
      <w:r w:rsidR="005A75CF" w:rsidRPr="00A128EA">
        <w:rPr>
          <w:i/>
          <w:iCs/>
        </w:rPr>
        <w:t xml:space="preserve">European </w:t>
      </w:r>
      <w:r w:rsidR="005A75CF">
        <w:rPr>
          <w:i/>
          <w:iCs/>
        </w:rPr>
        <w:t>f</w:t>
      </w:r>
      <w:r w:rsidR="005A75CF" w:rsidRPr="00A128EA">
        <w:rPr>
          <w:i/>
          <w:iCs/>
        </w:rPr>
        <w:t xml:space="preserve">ashion </w:t>
      </w:r>
      <w:r w:rsidR="005A75CF">
        <w:rPr>
          <w:i/>
          <w:iCs/>
        </w:rPr>
        <w:t>l</w:t>
      </w:r>
      <w:r w:rsidR="005A75CF" w:rsidRPr="00A128EA">
        <w:rPr>
          <w:i/>
          <w:iCs/>
        </w:rPr>
        <w:t xml:space="preserve">aw: a practical guide from star-up to global success </w:t>
      </w:r>
      <w:r w:rsidR="005A75CF" w:rsidRPr="00A128EA">
        <w:t>(EE</w:t>
      </w:r>
      <w:r w:rsidR="005A75CF" w:rsidRPr="002B1F62">
        <w:t xml:space="preserve"> 2019) </w:t>
      </w:r>
      <w:r>
        <w:t>8</w:t>
      </w:r>
      <w:r w:rsidR="00126DAA">
        <w:t>7</w:t>
      </w:r>
      <w:r>
        <w:t>.</w:t>
      </w:r>
    </w:p>
  </w:footnote>
  <w:footnote w:id="73">
    <w:p w14:paraId="0225FB12" w14:textId="027C033E" w:rsidR="007B2B7D" w:rsidRPr="00FA0607" w:rsidRDefault="007B2B7D" w:rsidP="007B2B7D">
      <w:pPr>
        <w:pStyle w:val="FootnoteText"/>
        <w:jc w:val="both"/>
      </w:pPr>
      <w:r>
        <w:rPr>
          <w:rStyle w:val="FootnoteReference"/>
        </w:rPr>
        <w:footnoteRef/>
      </w:r>
      <w:r>
        <w:t xml:space="preserve"> </w:t>
      </w:r>
      <w:r w:rsidR="00042069">
        <w:t xml:space="preserve">Abbe Brown and others, </w:t>
      </w:r>
      <w:r w:rsidRPr="00E37E51">
        <w:rPr>
          <w:i/>
          <w:iCs/>
        </w:rPr>
        <w:t>Contemporary Intellectual Property Law</w:t>
      </w:r>
      <w:r w:rsidR="009C1999">
        <w:t xml:space="preserve"> (</w:t>
      </w:r>
      <w:r w:rsidR="00AD26C3">
        <w:t>5</w:t>
      </w:r>
      <w:r w:rsidR="00AD26C3" w:rsidRPr="00AD26C3">
        <w:rPr>
          <w:vertAlign w:val="superscript"/>
        </w:rPr>
        <w:t>th</w:t>
      </w:r>
      <w:r w:rsidR="00AD26C3">
        <w:t xml:space="preserve"> </w:t>
      </w:r>
      <w:proofErr w:type="spellStart"/>
      <w:r w:rsidR="00AD26C3">
        <w:t>edn</w:t>
      </w:r>
      <w:proofErr w:type="spellEnd"/>
      <w:r w:rsidR="00AD26C3">
        <w:t>, OUP 20</w:t>
      </w:r>
      <w:r w:rsidR="00544AFC">
        <w:t>19</w:t>
      </w:r>
      <w:r w:rsidR="00AD26C3">
        <w:t>)</w:t>
      </w:r>
      <w:r>
        <w:t xml:space="preserve"> 360</w:t>
      </w:r>
      <w:r w:rsidR="00AD26C3">
        <w:t>.</w:t>
      </w:r>
    </w:p>
  </w:footnote>
  <w:footnote w:id="74">
    <w:p w14:paraId="1C024C15" w14:textId="570CE81A" w:rsidR="007B2B7D" w:rsidRPr="0019791E" w:rsidRDefault="007B2B7D" w:rsidP="007B2B7D">
      <w:pPr>
        <w:pStyle w:val="FootnoteText"/>
        <w:jc w:val="both"/>
      </w:pPr>
      <w:r>
        <w:rPr>
          <w:rStyle w:val="FootnoteReference"/>
        </w:rPr>
        <w:footnoteRef/>
      </w:r>
      <w:r>
        <w:t xml:space="preserve"> </w:t>
      </w:r>
      <w:r w:rsidR="006B440C">
        <w:t xml:space="preserve">Lionel Bently and others, </w:t>
      </w:r>
      <w:r w:rsidR="006B440C" w:rsidRPr="006B440C">
        <w:rPr>
          <w:i/>
          <w:iCs/>
        </w:rPr>
        <w:t>Intellectual Propert</w:t>
      </w:r>
      <w:r w:rsidR="006B440C">
        <w:rPr>
          <w:i/>
          <w:iCs/>
        </w:rPr>
        <w:t>y Law</w:t>
      </w:r>
      <w:r w:rsidR="006B440C">
        <w:t xml:space="preserve"> (6</w:t>
      </w:r>
      <w:r w:rsidR="006B440C" w:rsidRPr="009F27AF">
        <w:rPr>
          <w:vertAlign w:val="superscript"/>
        </w:rPr>
        <w:t>th</w:t>
      </w:r>
      <w:r w:rsidR="006B440C">
        <w:t xml:space="preserve"> </w:t>
      </w:r>
      <w:proofErr w:type="spellStart"/>
      <w:r w:rsidR="006B440C">
        <w:t>edn</w:t>
      </w:r>
      <w:proofErr w:type="spellEnd"/>
      <w:r w:rsidR="006B440C">
        <w:t xml:space="preserve">, OUP 2022) </w:t>
      </w:r>
      <w:r>
        <w:t>737.</w:t>
      </w:r>
    </w:p>
  </w:footnote>
  <w:footnote w:id="75">
    <w:p w14:paraId="2808D222" w14:textId="331CC609" w:rsidR="003F650D" w:rsidRPr="00B56611" w:rsidRDefault="003F650D" w:rsidP="003F650D">
      <w:pPr>
        <w:pStyle w:val="FootnoteText"/>
        <w:jc w:val="both"/>
      </w:pPr>
      <w:r>
        <w:rPr>
          <w:rStyle w:val="FootnoteReference"/>
        </w:rPr>
        <w:footnoteRef/>
      </w:r>
      <w:r>
        <w:t xml:space="preserve"> </w:t>
      </w:r>
      <w:r w:rsidR="00265744">
        <w:t xml:space="preserve">Joanna Buchalska, ‘Fashion law: a new approach’ (2016) 7 Queen Mary Law Journal 13, </w:t>
      </w:r>
      <w:r>
        <w:t>23.</w:t>
      </w:r>
    </w:p>
  </w:footnote>
  <w:footnote w:id="76">
    <w:p w14:paraId="071CE75B" w14:textId="77777777" w:rsidR="003F650D" w:rsidRPr="001D11E6" w:rsidRDefault="003F650D" w:rsidP="003F650D">
      <w:pPr>
        <w:pStyle w:val="FootnoteText"/>
        <w:jc w:val="both"/>
      </w:pPr>
      <w:r>
        <w:rPr>
          <w:rStyle w:val="FootnoteReference"/>
        </w:rPr>
        <w:footnoteRef/>
      </w:r>
      <w:r>
        <w:t xml:space="preserve"> O Church, E </w:t>
      </w:r>
      <w:proofErr w:type="spellStart"/>
      <w:r>
        <w:t>Derclaye</w:t>
      </w:r>
      <w:proofErr w:type="spellEnd"/>
      <w:r>
        <w:t xml:space="preserve"> and G </w:t>
      </w:r>
      <w:proofErr w:type="spellStart"/>
      <w:r>
        <w:t>Stupfler</w:t>
      </w:r>
      <w:proofErr w:type="spellEnd"/>
      <w:r>
        <w:t xml:space="preserve">, ’An empirical analysis of the design case law of the EU member states’ (2019) 50 Int Rev Intellectual Property Competition Law 685, 686. </w:t>
      </w:r>
    </w:p>
  </w:footnote>
  <w:footnote w:id="77">
    <w:p w14:paraId="6D9DB4E4" w14:textId="42CB05C1" w:rsidR="003F650D" w:rsidRPr="0041436A" w:rsidRDefault="003F650D" w:rsidP="003F650D">
      <w:pPr>
        <w:pStyle w:val="FootnoteText"/>
        <w:jc w:val="both"/>
      </w:pPr>
      <w:r>
        <w:rPr>
          <w:rStyle w:val="FootnoteReference"/>
        </w:rPr>
        <w:footnoteRef/>
      </w:r>
      <w:r>
        <w:t xml:space="preserve"> </w:t>
      </w:r>
      <w:r w:rsidR="00CA746D">
        <w:t xml:space="preserve">Lionel Bently and others, </w:t>
      </w:r>
      <w:r w:rsidR="00CA746D" w:rsidRPr="006B440C">
        <w:rPr>
          <w:i/>
          <w:iCs/>
        </w:rPr>
        <w:t>Intellectual Propert</w:t>
      </w:r>
      <w:r w:rsidR="00CA746D">
        <w:rPr>
          <w:i/>
          <w:iCs/>
        </w:rPr>
        <w:t>y Law</w:t>
      </w:r>
      <w:r w:rsidR="00CA746D">
        <w:t xml:space="preserve"> (6</w:t>
      </w:r>
      <w:r w:rsidR="00CA746D" w:rsidRPr="009F27AF">
        <w:rPr>
          <w:vertAlign w:val="superscript"/>
        </w:rPr>
        <w:t>th</w:t>
      </w:r>
      <w:r w:rsidR="00CA746D">
        <w:t xml:space="preserve"> </w:t>
      </w:r>
      <w:proofErr w:type="spellStart"/>
      <w:r w:rsidR="00CA746D">
        <w:t>edn</w:t>
      </w:r>
      <w:proofErr w:type="spellEnd"/>
      <w:r w:rsidR="00CA746D">
        <w:t xml:space="preserve">, OUP 2022) </w:t>
      </w:r>
      <w:r>
        <w:t>742</w:t>
      </w:r>
      <w:r w:rsidR="00CA746D">
        <w:t>.</w:t>
      </w:r>
    </w:p>
  </w:footnote>
  <w:footnote w:id="78">
    <w:p w14:paraId="43785D6C" w14:textId="5A4D5022" w:rsidR="003F650D" w:rsidRPr="00A73702" w:rsidRDefault="003F650D" w:rsidP="003F650D">
      <w:pPr>
        <w:pStyle w:val="FootnoteText"/>
        <w:jc w:val="both"/>
      </w:pPr>
      <w:r>
        <w:rPr>
          <w:rStyle w:val="FootnoteReference"/>
        </w:rPr>
        <w:footnoteRef/>
      </w:r>
      <w:r>
        <w:t xml:space="preserve"> </w:t>
      </w:r>
      <w:r w:rsidR="005A75CF" w:rsidRPr="002B1F62">
        <w:t xml:space="preserve">Rosie Burbidge, </w:t>
      </w:r>
      <w:r w:rsidR="005A75CF" w:rsidRPr="00A128EA">
        <w:rPr>
          <w:i/>
          <w:iCs/>
        </w:rPr>
        <w:t xml:space="preserve">European </w:t>
      </w:r>
      <w:r w:rsidR="005A75CF">
        <w:rPr>
          <w:i/>
          <w:iCs/>
        </w:rPr>
        <w:t>f</w:t>
      </w:r>
      <w:r w:rsidR="005A75CF" w:rsidRPr="00A128EA">
        <w:rPr>
          <w:i/>
          <w:iCs/>
        </w:rPr>
        <w:t xml:space="preserve">ashion </w:t>
      </w:r>
      <w:r w:rsidR="005A75CF">
        <w:rPr>
          <w:i/>
          <w:iCs/>
        </w:rPr>
        <w:t>l</w:t>
      </w:r>
      <w:r w:rsidR="005A75CF" w:rsidRPr="00A128EA">
        <w:rPr>
          <w:i/>
          <w:iCs/>
        </w:rPr>
        <w:t xml:space="preserve">aw: a practical guide from star-up to global success </w:t>
      </w:r>
      <w:r w:rsidR="005A75CF" w:rsidRPr="00A128EA">
        <w:t>(EE</w:t>
      </w:r>
      <w:r w:rsidR="005A75CF" w:rsidRPr="002B1F62">
        <w:t xml:space="preserve"> 2019)</w:t>
      </w:r>
      <w:r w:rsidR="005A75CF">
        <w:t xml:space="preserve"> </w:t>
      </w:r>
      <w:r>
        <w:t>84.</w:t>
      </w:r>
    </w:p>
  </w:footnote>
  <w:footnote w:id="79">
    <w:p w14:paraId="0F3C929A" w14:textId="4EE4D507" w:rsidR="00BC6C6A" w:rsidRPr="009766F1" w:rsidRDefault="00BC6C6A" w:rsidP="00BC6C6A">
      <w:pPr>
        <w:pStyle w:val="FootnoteText"/>
        <w:jc w:val="both"/>
      </w:pPr>
      <w:r>
        <w:rPr>
          <w:rStyle w:val="FootnoteReference"/>
        </w:rPr>
        <w:footnoteRef/>
      </w:r>
      <w:r>
        <w:t xml:space="preserve"> </w:t>
      </w:r>
      <w:r w:rsidRPr="009766F1">
        <w:rPr>
          <w:i/>
          <w:iCs/>
        </w:rPr>
        <w:t xml:space="preserve">Ferrari </w:t>
      </w:r>
      <w:proofErr w:type="spellStart"/>
      <w:r w:rsidRPr="009766F1">
        <w:rPr>
          <w:i/>
          <w:iCs/>
        </w:rPr>
        <w:t>SpA</w:t>
      </w:r>
      <w:proofErr w:type="spellEnd"/>
      <w:r w:rsidRPr="009766F1">
        <w:rPr>
          <w:i/>
          <w:iCs/>
        </w:rPr>
        <w:t xml:space="preserve"> v Mansory Design Holding GmbH</w:t>
      </w:r>
      <w:r>
        <w:t xml:space="preserve"> </w:t>
      </w:r>
      <w:r w:rsidRPr="00EC5BE3">
        <w:t>Case C</w:t>
      </w:r>
      <w:r w:rsidRPr="00EC5BE3">
        <w:rPr>
          <w:rFonts w:ascii="Cambria Math" w:hAnsi="Cambria Math" w:cs="Cambria Math"/>
        </w:rPr>
        <w:t>‑</w:t>
      </w:r>
      <w:r w:rsidRPr="00EC5BE3">
        <w:t xml:space="preserve">123/20 </w:t>
      </w:r>
      <w:r w:rsidRPr="000966D7">
        <w:t>ECLI:EU:</w:t>
      </w:r>
      <w:proofErr w:type="gramStart"/>
      <w:r w:rsidRPr="000966D7">
        <w:t>C:2021:889</w:t>
      </w:r>
      <w:proofErr w:type="gramEnd"/>
      <w:r w:rsidR="00E37E51">
        <w:t>.</w:t>
      </w:r>
    </w:p>
  </w:footnote>
  <w:footnote w:id="80">
    <w:p w14:paraId="0F491D24" w14:textId="1B062991" w:rsidR="00686B55" w:rsidRPr="00F62A23" w:rsidRDefault="00686B55" w:rsidP="00686B55">
      <w:pPr>
        <w:pStyle w:val="FootnoteText"/>
        <w:jc w:val="both"/>
      </w:pPr>
      <w:r>
        <w:rPr>
          <w:rStyle w:val="FootnoteReference"/>
        </w:rPr>
        <w:footnoteRef/>
      </w:r>
      <w:r>
        <w:t xml:space="preserve"> </w:t>
      </w:r>
      <w:r w:rsidR="006B440C">
        <w:t xml:space="preserve">Lionel Bently and others, </w:t>
      </w:r>
      <w:r w:rsidR="006B440C" w:rsidRPr="006B440C">
        <w:rPr>
          <w:i/>
          <w:iCs/>
        </w:rPr>
        <w:t>Intellectual Propert</w:t>
      </w:r>
      <w:r w:rsidR="006B440C">
        <w:rPr>
          <w:i/>
          <w:iCs/>
        </w:rPr>
        <w:t>y Law</w:t>
      </w:r>
      <w:r w:rsidR="006B440C">
        <w:t xml:space="preserve"> (6</w:t>
      </w:r>
      <w:r w:rsidR="006B440C" w:rsidRPr="009F27AF">
        <w:rPr>
          <w:vertAlign w:val="superscript"/>
        </w:rPr>
        <w:t>th</w:t>
      </w:r>
      <w:r w:rsidR="006B440C">
        <w:t xml:space="preserve"> </w:t>
      </w:r>
      <w:proofErr w:type="spellStart"/>
      <w:r w:rsidR="006B440C">
        <w:t>edn</w:t>
      </w:r>
      <w:proofErr w:type="spellEnd"/>
      <w:r w:rsidR="006B440C">
        <w:t xml:space="preserve">, OUP 2022) </w:t>
      </w:r>
      <w:r>
        <w:t>742.</w:t>
      </w:r>
    </w:p>
  </w:footnote>
  <w:footnote w:id="81">
    <w:p w14:paraId="6268C0C8" w14:textId="77777777" w:rsidR="008E04AF" w:rsidRPr="00120B31" w:rsidRDefault="008E04AF" w:rsidP="008E04AF">
      <w:pPr>
        <w:pStyle w:val="FootnoteText"/>
        <w:jc w:val="both"/>
      </w:pPr>
      <w:r>
        <w:rPr>
          <w:rStyle w:val="FootnoteReference"/>
        </w:rPr>
        <w:footnoteRef/>
      </w:r>
      <w:r>
        <w:t xml:space="preserve"> Paris Court of Appeal, 23 March 2021, no 18/28435 </w:t>
      </w:r>
      <w:r w:rsidRPr="007D7CE1">
        <w:rPr>
          <w:i/>
          <w:iCs/>
        </w:rPr>
        <w:t xml:space="preserve">APM Monaco v </w:t>
      </w:r>
      <w:proofErr w:type="spellStart"/>
      <w:r w:rsidRPr="007D7CE1">
        <w:rPr>
          <w:i/>
          <w:iCs/>
        </w:rPr>
        <w:t>Swarosvski</w:t>
      </w:r>
      <w:proofErr w:type="spellEnd"/>
      <w:r w:rsidRPr="007D7CE1">
        <w:rPr>
          <w:i/>
          <w:iCs/>
        </w:rPr>
        <w:t xml:space="preserve"> Crystal Online.</w:t>
      </w:r>
    </w:p>
  </w:footnote>
  <w:footnote w:id="82">
    <w:p w14:paraId="223B1C86" w14:textId="4DDDB071" w:rsidR="008E04AF" w:rsidRPr="003353F5" w:rsidRDefault="008E04AF" w:rsidP="008E04AF">
      <w:pPr>
        <w:pStyle w:val="FootnoteText"/>
        <w:jc w:val="both"/>
      </w:pPr>
      <w:r>
        <w:rPr>
          <w:rStyle w:val="FootnoteReference"/>
        </w:rPr>
        <w:footnoteRef/>
      </w:r>
      <w:r>
        <w:t xml:space="preserve"> </w:t>
      </w:r>
      <w:r w:rsidR="007D7CE1">
        <w:t>Paris</w:t>
      </w:r>
      <w:r>
        <w:t xml:space="preserve"> Court of Appeal, 25 June 2021, no 19/05464 as noted in The Bird &amp; Bird IP Team, </w:t>
      </w:r>
      <w:r w:rsidR="007D7CE1">
        <w:t>‘</w:t>
      </w:r>
      <w:r>
        <w:t>Round-up of fashion-related IP decision 2021’ (2022) 17(3) JIPLP 260, 285.</w:t>
      </w:r>
    </w:p>
  </w:footnote>
  <w:footnote w:id="83">
    <w:p w14:paraId="70F977AB" w14:textId="77777777" w:rsidR="00FD6EAB" w:rsidRPr="003979B8" w:rsidRDefault="00FD6EAB" w:rsidP="00FD6EAB">
      <w:pPr>
        <w:pStyle w:val="FootnoteText"/>
        <w:rPr>
          <w:lang w:val="en-US"/>
        </w:rPr>
      </w:pPr>
      <w:r>
        <w:rPr>
          <w:rStyle w:val="FootnoteReference"/>
        </w:rPr>
        <w:footnoteRef/>
      </w:r>
      <w:r w:rsidRPr="003979B8">
        <w:rPr>
          <w:lang w:val="en-US"/>
        </w:rPr>
        <w:t xml:space="preserve"> Stone, David, European </w:t>
      </w:r>
      <w:r>
        <w:rPr>
          <w:lang w:val="en-US"/>
        </w:rPr>
        <w:t>Union Design Law. A practitioner’s guide, 2 ed. Oxford University Press, p. 125.</w:t>
      </w:r>
    </w:p>
  </w:footnote>
  <w:footnote w:id="84">
    <w:p w14:paraId="2D70D628" w14:textId="77777777" w:rsidR="00FD6EAB" w:rsidRPr="00FD6EAB" w:rsidRDefault="00FD6EAB" w:rsidP="00FD6EAB">
      <w:pPr>
        <w:pStyle w:val="FootnoteText"/>
        <w:rPr>
          <w:lang w:val="sv-SE"/>
        </w:rPr>
      </w:pPr>
      <w:r>
        <w:rPr>
          <w:rStyle w:val="FootnoteReference"/>
        </w:rPr>
        <w:footnoteRef/>
      </w:r>
      <w:r w:rsidRPr="00FD6EAB">
        <w:rPr>
          <w:lang w:val="sv-SE"/>
        </w:rPr>
        <w:t xml:space="preserve"> </w:t>
      </w:r>
      <w:bookmarkStart w:id="9" w:name="_Hlk152704852"/>
      <w:r w:rsidRPr="00FD6EAB">
        <w:rPr>
          <w:lang w:val="sv-SE"/>
        </w:rPr>
        <w:t>C</w:t>
      </w:r>
      <w:r w:rsidRPr="00FD6EAB">
        <w:rPr>
          <w:rFonts w:ascii="Cambria Math" w:hAnsi="Cambria Math" w:cs="Cambria Math"/>
          <w:lang w:val="sv-SE"/>
        </w:rPr>
        <w:t>‑</w:t>
      </w:r>
      <w:r w:rsidRPr="00FD6EAB">
        <w:rPr>
          <w:lang w:val="sv-SE"/>
        </w:rPr>
        <w:t>32/08, EU:C:2009:418, FEIA, para 49.</w:t>
      </w:r>
      <w:bookmarkEnd w:id="9"/>
    </w:p>
  </w:footnote>
  <w:footnote w:id="85">
    <w:p w14:paraId="5CD479E5" w14:textId="77777777" w:rsidR="00FD6EAB" w:rsidRPr="00FD6EAB" w:rsidRDefault="00FD6EAB" w:rsidP="00FD6EAB">
      <w:pPr>
        <w:pStyle w:val="FootnoteText"/>
        <w:rPr>
          <w:lang w:val="sv-SE"/>
        </w:rPr>
      </w:pPr>
      <w:r>
        <w:rPr>
          <w:rStyle w:val="FootnoteReference"/>
        </w:rPr>
        <w:footnoteRef/>
      </w:r>
      <w:r w:rsidRPr="00FD6EAB">
        <w:rPr>
          <w:lang w:val="sv-SE"/>
        </w:rPr>
        <w:t xml:space="preserve"> C</w:t>
      </w:r>
      <w:r w:rsidRPr="00FD6EAB">
        <w:rPr>
          <w:rFonts w:ascii="Cambria Math" w:hAnsi="Cambria Math" w:cs="Cambria Math"/>
          <w:lang w:val="sv-SE"/>
        </w:rPr>
        <w:t>‑</w:t>
      </w:r>
      <w:r w:rsidRPr="00FD6EAB">
        <w:rPr>
          <w:lang w:val="sv-SE"/>
        </w:rPr>
        <w:t>32/08, EU:C:2009:418, FEIA, para 51-55.</w:t>
      </w:r>
    </w:p>
  </w:footnote>
  <w:footnote w:id="86">
    <w:p w14:paraId="61A39518" w14:textId="02FFE006" w:rsidR="00581E00" w:rsidRPr="00581E00" w:rsidRDefault="00581E00">
      <w:pPr>
        <w:pStyle w:val="FootnoteText"/>
      </w:pPr>
      <w:r>
        <w:rPr>
          <w:rStyle w:val="FootnoteReference"/>
        </w:rPr>
        <w:footnoteRef/>
      </w:r>
      <w:r>
        <w:t xml:space="preserve"> </w:t>
      </w:r>
      <w:r w:rsidRPr="00581E00">
        <w:t xml:space="preserve">The word use covers, for example, “the making, offering, putting on the market, importing, exporting or using of a product in which the design is incorporated or to which it is applied, or stocking such a product for those purposes”, article 19.1 </w:t>
      </w:r>
      <w:proofErr w:type="gramStart"/>
      <w:r w:rsidRPr="00581E00">
        <w:t>CRD .</w:t>
      </w:r>
      <w:proofErr w:type="gramEnd"/>
    </w:p>
  </w:footnote>
  <w:footnote w:id="87">
    <w:p w14:paraId="570D7CDB" w14:textId="77777777" w:rsidR="00E759C0" w:rsidRDefault="00E759C0" w:rsidP="00E759C0">
      <w:pPr>
        <w:pStyle w:val="FootnoteText"/>
      </w:pPr>
      <w:r>
        <w:rPr>
          <w:rStyle w:val="FootnoteReference"/>
        </w:rPr>
        <w:footnoteRef/>
      </w:r>
      <w:r>
        <w:t xml:space="preserve"> Cf. Francesca Montalvo </w:t>
      </w:r>
      <w:proofErr w:type="spellStart"/>
      <w:r>
        <w:t>Witzburg</w:t>
      </w:r>
      <w:proofErr w:type="spellEnd"/>
      <w:r>
        <w:t>, “Protection Fashion: A Comparative Analysis of Fashion Design Protection in the US and Europe” (2014), AELJ Blog 51, Cardozo Entertainment Law Journal</w:t>
      </w:r>
    </w:p>
  </w:footnote>
  <w:footnote w:id="88">
    <w:p w14:paraId="3B7BB993" w14:textId="39B4795C" w:rsidR="00E759C0" w:rsidRPr="00177090" w:rsidRDefault="00E759C0" w:rsidP="00E759C0">
      <w:pPr>
        <w:pStyle w:val="FootnoteText"/>
        <w:rPr>
          <w:lang w:val="en-US"/>
        </w:rPr>
      </w:pPr>
      <w:r>
        <w:rPr>
          <w:rStyle w:val="FootnoteReference"/>
        </w:rPr>
        <w:footnoteRef/>
      </w:r>
      <w:r>
        <w:t xml:space="preserve"> Cf. ECJ Case C-683/17 </w:t>
      </w:r>
      <w:r>
        <w:rPr>
          <w:i/>
        </w:rPr>
        <w:t xml:space="preserve">in re. </w:t>
      </w:r>
      <w:proofErr w:type="spellStart"/>
      <w:proofErr w:type="gramStart"/>
      <w:r w:rsidRPr="006B71C1">
        <w:rPr>
          <w:i/>
          <w:lang w:val="en-US"/>
        </w:rPr>
        <w:t>Cofemel</w:t>
      </w:r>
      <w:proofErr w:type="spellEnd"/>
      <w:r w:rsidR="00CD4976" w:rsidRPr="006B71C1">
        <w:rPr>
          <w:i/>
          <w:lang w:val="en-US"/>
        </w:rPr>
        <w:t xml:space="preserve"> ,and</w:t>
      </w:r>
      <w:proofErr w:type="gramEnd"/>
      <w:r w:rsidR="00CD4976" w:rsidRPr="006B71C1">
        <w:rPr>
          <w:i/>
          <w:lang w:val="en-US"/>
        </w:rPr>
        <w:t xml:space="preserve"> Chapter X. Artificial Intelligence and EU Design Law, Section C. 3, of the current Book.</w:t>
      </w:r>
    </w:p>
  </w:footnote>
  <w:footnote w:id="89">
    <w:p w14:paraId="148AFD71" w14:textId="77777777" w:rsidR="00E759C0" w:rsidRPr="00E759C0" w:rsidRDefault="00E759C0" w:rsidP="00E759C0">
      <w:pPr>
        <w:pStyle w:val="FootnoteText"/>
        <w:rPr>
          <w:lang w:val="en-US"/>
        </w:rPr>
      </w:pPr>
      <w:r>
        <w:rPr>
          <w:rStyle w:val="FootnoteReference"/>
        </w:rPr>
        <w:footnoteRef/>
      </w:r>
      <w:r>
        <w:rPr>
          <w:lang w:val="it-IT"/>
        </w:rPr>
        <w:t xml:space="preserve"> Cf. Heidi Härkönen, Chapter 36, in forthcoming E Rosati -. Calboli eds. </w:t>
      </w:r>
      <w:r>
        <w:t xml:space="preserve">Routledge Handbook on Fashion Law (Routledge </w:t>
      </w:r>
      <w:proofErr w:type="spellStart"/>
      <w:r>
        <w:t>tbp</w:t>
      </w:r>
      <w:proofErr w:type="spellEnd"/>
      <w:r>
        <w:t>. 2024)</w:t>
      </w:r>
    </w:p>
  </w:footnote>
  <w:footnote w:id="90">
    <w:p w14:paraId="5880A957" w14:textId="255B4D74" w:rsidR="00CD4976" w:rsidRPr="00CD4976" w:rsidRDefault="00CD4976">
      <w:pPr>
        <w:pStyle w:val="FootnoteText"/>
      </w:pPr>
      <w:r>
        <w:rPr>
          <w:rStyle w:val="FootnoteReference"/>
        </w:rPr>
        <w:footnoteRef/>
      </w:r>
      <w:r w:rsidRPr="00CD4976">
        <w:t xml:space="preserve"> Cf. Chapter X. Artificial Intelligence and EU Design Law, Sections D.2 and E, of the current Book, that also draws a general picture on possible future options in the relationship between AI and Design Law that is applicable also to the Fashion world.</w:t>
      </w:r>
    </w:p>
  </w:footnote>
  <w:footnote w:id="91">
    <w:p w14:paraId="7D258DC0" w14:textId="77777777" w:rsidR="00D4771B" w:rsidRPr="004D5C08" w:rsidRDefault="00D4771B" w:rsidP="00D4771B">
      <w:pPr>
        <w:pStyle w:val="FootnoteText"/>
        <w:rPr>
          <w:lang w:val="en-US"/>
        </w:rPr>
      </w:pPr>
      <w:r>
        <w:rPr>
          <w:rStyle w:val="FootnoteReference"/>
        </w:rPr>
        <w:footnoteRef/>
      </w:r>
      <w:r>
        <w:t xml:space="preserve"> </w:t>
      </w:r>
      <w:bookmarkStart w:id="10" w:name="_Hlk152543417"/>
      <w:r w:rsidRPr="00F7133D">
        <w:t>Marjeta Čuk</w:t>
      </w:r>
      <w:r>
        <w:t xml:space="preserve"> and others, ‘3</w:t>
      </w:r>
      <w:r w:rsidRPr="00F7133D">
        <w:t xml:space="preserve">D </w:t>
      </w:r>
      <w:r>
        <w:t>printing and functionalization of textiles’ i</w:t>
      </w:r>
      <w:r w:rsidRPr="00311135">
        <w:t xml:space="preserve">n </w:t>
      </w:r>
      <w:r w:rsidRPr="00311135">
        <w:rPr>
          <w:i/>
          <w:iCs/>
        </w:rPr>
        <w:t>Proceedings of the 10th International Symposium GRID</w:t>
      </w:r>
      <w:r w:rsidRPr="00311135">
        <w:t xml:space="preserve"> </w:t>
      </w:r>
      <w:r w:rsidRPr="006C4616">
        <w:rPr>
          <w:i/>
          <w:iCs/>
        </w:rPr>
        <w:t>2020</w:t>
      </w:r>
      <w:r>
        <w:t>, 499</w:t>
      </w:r>
      <w:bookmarkEnd w:id="10"/>
      <w:r>
        <w:t xml:space="preserve">; </w:t>
      </w:r>
      <w:r w:rsidRPr="00BE7CCD">
        <w:t>LaPorchia C Davis</w:t>
      </w:r>
      <w:r>
        <w:t xml:space="preserve"> and others, ‘</w:t>
      </w:r>
      <w:r w:rsidRPr="00DD4072">
        <w:t>Collaboration of 3D technology and fashion innovations: A creative accessory development assessment</w:t>
      </w:r>
      <w:r>
        <w:t>’</w:t>
      </w:r>
      <w:r w:rsidRPr="00DD4072">
        <w:t xml:space="preserve"> </w:t>
      </w:r>
      <w:r>
        <w:t xml:space="preserve">(2020) 7(2-3) </w:t>
      </w:r>
      <w:r w:rsidRPr="00DD4072">
        <w:t>Fashion, Style &amp; Popular Culture 179</w:t>
      </w:r>
      <w:r>
        <w:t>.</w:t>
      </w:r>
    </w:p>
  </w:footnote>
  <w:footnote w:id="92">
    <w:p w14:paraId="2FB0A8EC" w14:textId="36627237" w:rsidR="00D4771B" w:rsidRDefault="00D4771B" w:rsidP="00D4771B">
      <w:pPr>
        <w:pStyle w:val="FootnoteText"/>
      </w:pPr>
      <w:r>
        <w:rPr>
          <w:rStyle w:val="FootnoteReference"/>
        </w:rPr>
        <w:footnoteRef/>
      </w:r>
      <w:r>
        <w:t xml:space="preserve"> </w:t>
      </w:r>
      <w:r w:rsidR="008A2E10">
        <w:t>ibid.</w:t>
      </w:r>
    </w:p>
  </w:footnote>
  <w:footnote w:id="93">
    <w:p w14:paraId="54CC0E1D" w14:textId="77777777" w:rsidR="00597E18" w:rsidRDefault="00597E18" w:rsidP="00597E18">
      <w:pPr>
        <w:pStyle w:val="FootnoteText"/>
      </w:pPr>
      <w:r>
        <w:rPr>
          <w:rStyle w:val="FootnoteReference"/>
        </w:rPr>
        <w:footnoteRef/>
      </w:r>
      <w:r>
        <w:t xml:space="preserve"> </w:t>
      </w:r>
      <w:r w:rsidRPr="001F02E6">
        <w:t>T</w:t>
      </w:r>
      <w:r>
        <w:t>he</w:t>
      </w:r>
      <w:r w:rsidRPr="001F02E6">
        <w:t xml:space="preserve"> H</w:t>
      </w:r>
      <w:r>
        <w:t xml:space="preserve">ouse of Iris Van </w:t>
      </w:r>
      <w:proofErr w:type="spellStart"/>
      <w:r>
        <w:t>Herpen</w:t>
      </w:r>
      <w:proofErr w:type="spellEnd"/>
      <w:r>
        <w:t xml:space="preserve">, ‘State-of-the-art’ </w:t>
      </w:r>
      <w:r w:rsidRPr="00333048">
        <w:t>https://www.irisvanherpen.com/state-of-the-art</w:t>
      </w:r>
    </w:p>
  </w:footnote>
  <w:footnote w:id="94">
    <w:p w14:paraId="47E8DA82" w14:textId="77777777" w:rsidR="009A2306" w:rsidRDefault="009A2306" w:rsidP="009A2306">
      <w:pPr>
        <w:pStyle w:val="FootnoteText"/>
      </w:pPr>
      <w:r>
        <w:rPr>
          <w:rStyle w:val="FootnoteReference"/>
        </w:rPr>
        <w:footnoteRef/>
      </w:r>
      <w:r>
        <w:t xml:space="preserve"> Fashionista, ‘</w:t>
      </w:r>
      <w:proofErr w:type="spellStart"/>
      <w:r>
        <w:t>Coperni</w:t>
      </w:r>
      <w:proofErr w:type="spellEnd"/>
      <w:r>
        <w:t xml:space="preserve"> offered its subversive take on “corporate” casual for Spring 2024’ (Fashionista 29 September 2023) </w:t>
      </w:r>
      <w:hyperlink r:id="rId5" w:anchor="gid=ci02ca9df4c000271a&amp;pid=coperni-spring-2024-1" w:history="1">
        <w:r w:rsidRPr="00AD6233">
          <w:rPr>
            <w:rStyle w:val="Hyperlink"/>
          </w:rPr>
          <w:t>https://fashionista.com/2023/09/coperni-spring-2024-collection#gid=ci02ca9df4c000271a&amp;pid=coperni-spring-2024-1</w:t>
        </w:r>
      </w:hyperlink>
      <w:r>
        <w:t xml:space="preserve"> accessed 15 November 2023.</w:t>
      </w:r>
    </w:p>
  </w:footnote>
  <w:footnote w:id="95">
    <w:p w14:paraId="27C05143" w14:textId="76B5F4B5" w:rsidR="00E956D6" w:rsidRDefault="00E956D6" w:rsidP="00E956D6">
      <w:pPr>
        <w:pStyle w:val="FootnoteText"/>
      </w:pPr>
      <w:r>
        <w:rPr>
          <w:rStyle w:val="FootnoteReference"/>
        </w:rPr>
        <w:footnoteRef/>
      </w:r>
      <w:r>
        <w:t xml:space="preserve"> Alyson Vanderploeg, Seung-Eun Lee and Michael </w:t>
      </w:r>
      <w:proofErr w:type="spellStart"/>
      <w:r>
        <w:t>Mamp</w:t>
      </w:r>
      <w:proofErr w:type="spellEnd"/>
      <w:r w:rsidR="00037F15">
        <w:t>,</w:t>
      </w:r>
      <w:r>
        <w:t xml:space="preserve"> ‘</w:t>
      </w:r>
      <w:r w:rsidRPr="006B7E02">
        <w:t>The application of 3D printing technology in the fashion industry</w:t>
      </w:r>
      <w:r>
        <w:t xml:space="preserve">’ (2016) 10(2) </w:t>
      </w:r>
      <w:r w:rsidRPr="005D6293">
        <w:t>International Journal of Fashion Design, Technology and Education 170</w:t>
      </w:r>
      <w:r>
        <w:t xml:space="preserve">; </w:t>
      </w:r>
      <w:r w:rsidRPr="005F28FB">
        <w:t>Anna Perry</w:t>
      </w:r>
      <w:r>
        <w:t>,</w:t>
      </w:r>
      <w:r w:rsidRPr="005F28FB">
        <w:t xml:space="preserve"> </w:t>
      </w:r>
      <w:r>
        <w:t>‘</w:t>
      </w:r>
      <w:r w:rsidRPr="005F28FB">
        <w:t>3D-printed apparel and 3D-printer: exploring advantages, concerns, and purchases</w:t>
      </w:r>
      <w:r>
        <w:t>’ (2018) 11(1)</w:t>
      </w:r>
      <w:r w:rsidRPr="005F28FB">
        <w:t xml:space="preserve"> International Journal of Fashion Design, Technology and Education 95</w:t>
      </w:r>
      <w:r>
        <w:t>.</w:t>
      </w:r>
    </w:p>
  </w:footnote>
  <w:footnote w:id="96">
    <w:p w14:paraId="6D36C997" w14:textId="77777777" w:rsidR="00E956D6" w:rsidRDefault="00E956D6" w:rsidP="00E956D6">
      <w:pPr>
        <w:pStyle w:val="FootnoteText"/>
      </w:pPr>
      <w:r>
        <w:rPr>
          <w:rStyle w:val="FootnoteReference"/>
        </w:rPr>
        <w:footnoteRef/>
      </w:r>
      <w:r>
        <w:t xml:space="preserve"> A </w:t>
      </w:r>
      <w:r w:rsidRPr="00567E6C">
        <w:t xml:space="preserve">Pasricha </w:t>
      </w:r>
      <w:r>
        <w:t xml:space="preserve">and </w:t>
      </w:r>
      <w:r w:rsidRPr="00567E6C">
        <w:t xml:space="preserve">Greeninger, </w:t>
      </w:r>
      <w:r>
        <w:t>‘</w:t>
      </w:r>
      <w:r w:rsidRPr="00567E6C">
        <w:t>Exploration of 3D printing to create zero-waste sustainable fashion notions and</w:t>
      </w:r>
      <w:r>
        <w:t xml:space="preserve"> </w:t>
      </w:r>
      <w:proofErr w:type="spellStart"/>
      <w:r w:rsidRPr="00567E6C">
        <w:t>jewelry</w:t>
      </w:r>
      <w:proofErr w:type="spellEnd"/>
      <w:r>
        <w:t xml:space="preserve">’ (2018) 5(1) </w:t>
      </w:r>
      <w:r w:rsidRPr="00B831AA">
        <w:t>Fashion and Textiles 1</w:t>
      </w:r>
      <w:r w:rsidRPr="00567E6C">
        <w:t>.</w:t>
      </w:r>
    </w:p>
  </w:footnote>
  <w:footnote w:id="97">
    <w:p w14:paraId="6B9E4223" w14:textId="282C1D7A" w:rsidR="00E956D6" w:rsidRDefault="00E956D6" w:rsidP="00E956D6">
      <w:pPr>
        <w:pStyle w:val="FootnoteText"/>
      </w:pPr>
      <w:r>
        <w:rPr>
          <w:rStyle w:val="FootnoteReference"/>
        </w:rPr>
        <w:footnoteRef/>
      </w:r>
      <w:r>
        <w:t xml:space="preserve"> Ibid.</w:t>
      </w:r>
    </w:p>
  </w:footnote>
  <w:footnote w:id="98">
    <w:p w14:paraId="513D29DA" w14:textId="77777777" w:rsidR="0000224E" w:rsidRPr="00252A38" w:rsidRDefault="0000224E" w:rsidP="0000224E">
      <w:pPr>
        <w:pStyle w:val="FootnoteText"/>
      </w:pPr>
      <w:r>
        <w:rPr>
          <w:rStyle w:val="FootnoteReference"/>
        </w:rPr>
        <w:footnoteRef/>
      </w:r>
      <w:r>
        <w:t xml:space="preserve"> </w:t>
      </w:r>
      <w:r w:rsidRPr="002146BF">
        <w:t>Maria Victória Rocha</w:t>
      </w:r>
      <w:r>
        <w:t>, ‘</w:t>
      </w:r>
      <w:r w:rsidRPr="00252A38">
        <w:t>Fashion: From 3D Printing to Digital Fashion</w:t>
      </w:r>
      <w:r>
        <w:t xml:space="preserve">’ in </w:t>
      </w:r>
      <w:r w:rsidRPr="008464F5">
        <w:t>Ashutosh Sharma</w:t>
      </w:r>
      <w:r>
        <w:t>(ed),</w:t>
      </w:r>
      <w:r w:rsidRPr="008464F5">
        <w:t xml:space="preserve"> </w:t>
      </w:r>
      <w:r w:rsidRPr="008464F5">
        <w:rPr>
          <w:i/>
          <w:iCs/>
        </w:rPr>
        <w:t>Advances in 3D Printing</w:t>
      </w:r>
      <w:r>
        <w:rPr>
          <w:i/>
          <w:iCs/>
        </w:rPr>
        <w:t xml:space="preserve"> </w:t>
      </w:r>
      <w:r>
        <w:t>(</w:t>
      </w:r>
      <w:proofErr w:type="spellStart"/>
      <w:r>
        <w:t>IntechOpen</w:t>
      </w:r>
      <w:proofErr w:type="spellEnd"/>
      <w:r>
        <w:t xml:space="preserve"> 2023).</w:t>
      </w:r>
    </w:p>
  </w:footnote>
  <w:footnote w:id="99">
    <w:p w14:paraId="43183BC8" w14:textId="77777777" w:rsidR="00EF28F4" w:rsidRPr="002626A2" w:rsidRDefault="00EF28F4" w:rsidP="00EF28F4">
      <w:pPr>
        <w:pStyle w:val="FootnoteText"/>
        <w:jc w:val="both"/>
      </w:pPr>
      <w:r>
        <w:rPr>
          <w:rStyle w:val="FootnoteReference"/>
        </w:rPr>
        <w:footnoteRef/>
      </w:r>
      <w:r>
        <w:t xml:space="preserve"> Mark K Brewer, ’Fashion Law: more than wigs, gowns, and intellectual property’ (2017) 54(4) San Diego Law Review 739, 761.</w:t>
      </w:r>
    </w:p>
  </w:footnote>
  <w:footnote w:id="100">
    <w:p w14:paraId="411CB29C" w14:textId="00992AF7" w:rsidR="00EF28F4" w:rsidRPr="00CA58A5" w:rsidRDefault="00EF28F4" w:rsidP="00EF28F4">
      <w:pPr>
        <w:pStyle w:val="FootnoteText"/>
        <w:jc w:val="both"/>
      </w:pPr>
      <w:r>
        <w:rPr>
          <w:rStyle w:val="FootnoteReference"/>
        </w:rPr>
        <w:footnoteRef/>
      </w:r>
      <w:r>
        <w:t xml:space="preserve"> </w:t>
      </w:r>
      <w:r w:rsidR="009F2432">
        <w:t>ibid</w:t>
      </w:r>
      <w:r>
        <w:t>.</w:t>
      </w:r>
      <w:r w:rsidRPr="0012489E">
        <w:t xml:space="preserve"> See 3D printing study; there are technical issues and questions around the scope of existing design </w:t>
      </w:r>
      <w:r w:rsidR="009F2432" w:rsidRPr="0012489E">
        <w:t>limitations</w:t>
      </w:r>
      <w:r w:rsidR="009F2432">
        <w:t xml:space="preserve"> </w:t>
      </w:r>
      <w:r w:rsidRPr="0012489E">
        <w:t>when applied to 3D printing especially carried out by intermediaries or hosted/uploaded/downloaded from public</w:t>
      </w:r>
      <w:r w:rsidR="00AB76FE">
        <w:t xml:space="preserve"> </w:t>
      </w:r>
      <w:r w:rsidRPr="0012489E">
        <w:t>platforms.</w:t>
      </w:r>
      <w:r>
        <w:t xml:space="preserve"> </w:t>
      </w:r>
      <w:hyperlink r:id="rId6" w:history="1">
        <w:r>
          <w:rPr>
            <w:rStyle w:val="Hyperlink"/>
          </w:rPr>
          <w:t>The Intellectual Property implications of the development of industrial 3D printing - Publications Office of the EU (europa.eu)</w:t>
        </w:r>
      </w:hyperlink>
    </w:p>
  </w:footnote>
  <w:footnote w:id="101">
    <w:p w14:paraId="77E53570" w14:textId="376DF041" w:rsidR="00CE73AA" w:rsidRDefault="00CE73AA">
      <w:pPr>
        <w:pStyle w:val="FootnoteText"/>
      </w:pPr>
      <w:r>
        <w:rPr>
          <w:rStyle w:val="FootnoteReference"/>
        </w:rPr>
        <w:footnoteRef/>
      </w:r>
      <w:r>
        <w:t xml:space="preserve"> ibid</w:t>
      </w:r>
    </w:p>
  </w:footnote>
  <w:footnote w:id="102">
    <w:p w14:paraId="1BE0C387" w14:textId="77777777" w:rsidR="000E6740" w:rsidRPr="004D5C08" w:rsidRDefault="000E6740" w:rsidP="000E6740">
      <w:pPr>
        <w:pStyle w:val="FootnoteText"/>
        <w:jc w:val="both"/>
        <w:rPr>
          <w:lang w:val="en-US"/>
        </w:rPr>
      </w:pPr>
      <w:r>
        <w:rPr>
          <w:rStyle w:val="FootnoteReference"/>
        </w:rPr>
        <w:footnoteRef/>
      </w:r>
      <w:r>
        <w:t xml:space="preserve"> Elizabeth Oyange Ngando, ’Fashion as property in traditional culture: a Maasai case study’ (2018) 13(11) JIPLP 878.</w:t>
      </w:r>
    </w:p>
  </w:footnote>
  <w:footnote w:id="103">
    <w:p w14:paraId="02276827" w14:textId="49AF6C2D" w:rsidR="000F15BF" w:rsidRPr="0081755E" w:rsidRDefault="000F15BF" w:rsidP="000F15BF">
      <w:pPr>
        <w:pStyle w:val="FootnoteText"/>
        <w:jc w:val="both"/>
      </w:pPr>
      <w:r>
        <w:rPr>
          <w:rStyle w:val="FootnoteReference"/>
        </w:rPr>
        <w:footnoteRef/>
      </w:r>
      <w:r>
        <w:t xml:space="preserve"> Joanna Buchalska, Fashion law: a new approach’ (2016) 7 Queen Mary Law Journal 13,</w:t>
      </w:r>
      <w:r w:rsidR="00581B20">
        <w:t xml:space="preserve"> </w:t>
      </w:r>
      <w:r>
        <w:t>26.</w:t>
      </w:r>
    </w:p>
    <w:p w14:paraId="3CD33F1D" w14:textId="77777777" w:rsidR="000F15BF" w:rsidRPr="004D5C08" w:rsidRDefault="000F15BF" w:rsidP="000F15BF">
      <w:pPr>
        <w:pStyle w:val="FootnoteText"/>
        <w:jc w:val="both"/>
        <w:rPr>
          <w:lang w:val="en-US"/>
        </w:rPr>
      </w:pPr>
      <w:r>
        <w:rPr>
          <w:rStyle w:val="FootnoteReference"/>
        </w:rPr>
        <w:footnoteRef/>
      </w:r>
      <w:r>
        <w:t xml:space="preserve"> Article 3(a) Regulation</w:t>
      </w:r>
    </w:p>
  </w:footnote>
  <w:footnote w:id="104">
    <w:p w14:paraId="36436E85" w14:textId="4B7C2422" w:rsidR="000F15BF" w:rsidRPr="004D5C08" w:rsidRDefault="000F15BF" w:rsidP="000F15BF">
      <w:pPr>
        <w:pStyle w:val="FootnoteText"/>
        <w:jc w:val="both"/>
        <w:rPr>
          <w:lang w:val="en-US"/>
        </w:rPr>
      </w:pPr>
      <w:r>
        <w:rPr>
          <w:rStyle w:val="FootnoteReference"/>
        </w:rPr>
        <w:footnoteRef/>
      </w:r>
      <w:r>
        <w:t xml:space="preserve"> Susan Scafidi, ’Intellectual </w:t>
      </w:r>
      <w:r w:rsidR="00581B20">
        <w:t>Property</w:t>
      </w:r>
      <w:r>
        <w:t xml:space="preserve"> and Fashion Design’ in Peter K Yu (ed), </w:t>
      </w:r>
      <w:r w:rsidRPr="00810929">
        <w:rPr>
          <w:i/>
          <w:iCs/>
        </w:rPr>
        <w:t>Intellectual property and information wealth</w:t>
      </w:r>
      <w:r>
        <w:rPr>
          <w:i/>
          <w:iCs/>
        </w:rPr>
        <w:t xml:space="preserve"> </w:t>
      </w:r>
      <w:r w:rsidRPr="00810929">
        <w:t>(</w:t>
      </w:r>
      <w:r>
        <w:t>2006</w:t>
      </w:r>
      <w:r w:rsidRPr="00810929">
        <w:t>).</w:t>
      </w:r>
    </w:p>
  </w:footnote>
  <w:footnote w:id="105">
    <w:p w14:paraId="46267C18" w14:textId="44B911F4" w:rsidR="000F15BF" w:rsidRPr="004D5C08" w:rsidRDefault="000F15BF" w:rsidP="000F15BF">
      <w:pPr>
        <w:pStyle w:val="FootnoteText"/>
        <w:jc w:val="both"/>
        <w:rPr>
          <w:lang w:val="en-US"/>
        </w:rPr>
      </w:pPr>
      <w:r>
        <w:rPr>
          <w:rStyle w:val="FootnoteReference"/>
        </w:rPr>
        <w:footnoteRef/>
      </w:r>
      <w:r>
        <w:t xml:space="preserve"> Barbara Pozzo, ’</w:t>
      </w:r>
      <w:r w:rsidR="00581B20">
        <w:t>Fashion</w:t>
      </w:r>
      <w:r>
        <w:t xml:space="preserve"> between inspiration and appropriation’ (2020) 9(5) Laws 1.</w:t>
      </w:r>
    </w:p>
  </w:footnote>
  <w:footnote w:id="106">
    <w:p w14:paraId="0DE4FF64" w14:textId="0EAA3EC8" w:rsidR="00294F1A" w:rsidRPr="004D5C08" w:rsidRDefault="00294F1A" w:rsidP="00FC37AA">
      <w:pPr>
        <w:pStyle w:val="FootnoteText"/>
        <w:jc w:val="both"/>
        <w:rPr>
          <w:lang w:val="en-US"/>
        </w:rPr>
      </w:pPr>
      <w:r>
        <w:rPr>
          <w:rStyle w:val="FootnoteReference"/>
        </w:rPr>
        <w:footnoteRef/>
      </w:r>
      <w:r>
        <w:t xml:space="preserve"> </w:t>
      </w:r>
      <w:r w:rsidR="00581B20">
        <w:t>ibid</w:t>
      </w:r>
      <w:r w:rsidR="006B1403">
        <w:t xml:space="preserve"> 4</w:t>
      </w:r>
      <w:r>
        <w:t>.</w:t>
      </w:r>
    </w:p>
  </w:footnote>
  <w:footnote w:id="107">
    <w:p w14:paraId="4D5E6260" w14:textId="064214E8" w:rsidR="00294F1A" w:rsidRPr="004D5C08" w:rsidRDefault="00294F1A" w:rsidP="00294F1A">
      <w:pPr>
        <w:pStyle w:val="FootnoteText"/>
        <w:rPr>
          <w:lang w:val="en-US"/>
        </w:rPr>
      </w:pPr>
      <w:r>
        <w:rPr>
          <w:rStyle w:val="FootnoteReference"/>
        </w:rPr>
        <w:footnoteRef/>
      </w:r>
      <w:r>
        <w:t xml:space="preserve"> </w:t>
      </w:r>
      <w:r w:rsidR="006B1403">
        <w:t>ibid</w:t>
      </w:r>
      <w:r>
        <w:t xml:space="preserve"> 6.</w:t>
      </w:r>
    </w:p>
  </w:footnote>
  <w:footnote w:id="108">
    <w:p w14:paraId="5B3370E0" w14:textId="268FD57B" w:rsidR="0011194A" w:rsidRPr="004266C0" w:rsidRDefault="0011194A" w:rsidP="0011194A">
      <w:pPr>
        <w:pStyle w:val="FootnoteText"/>
        <w:rPr>
          <w:lang w:val="en-US"/>
        </w:rPr>
      </w:pPr>
      <w:r>
        <w:rPr>
          <w:rStyle w:val="FootnoteReference"/>
        </w:rPr>
        <w:footnoteRef/>
      </w:r>
      <w:r>
        <w:t xml:space="preserve"> </w:t>
      </w:r>
      <w:bookmarkStart w:id="11" w:name="_Hlk152528377"/>
      <w:r w:rsidR="00767334">
        <w:t>ibid</w:t>
      </w:r>
      <w:r>
        <w:t xml:space="preserve"> 6-7.</w:t>
      </w:r>
      <w:bookmarkEnd w:id="11"/>
    </w:p>
  </w:footnote>
  <w:footnote w:id="109">
    <w:p w14:paraId="78FB9D18" w14:textId="77777777" w:rsidR="0040163C" w:rsidRPr="00EA55C6" w:rsidRDefault="0040163C" w:rsidP="0040163C">
      <w:pPr>
        <w:pStyle w:val="FootnoteText"/>
        <w:jc w:val="both"/>
      </w:pPr>
      <w:r>
        <w:rPr>
          <w:rStyle w:val="FootnoteReference"/>
        </w:rPr>
        <w:footnoteRef/>
      </w:r>
      <w:r>
        <w:t xml:space="preserve"> See Mark K Brewer, ’Fashion Law: more than wigs, gowns, and intellectual property’ (2017) 54(4) San Diego Law Review 739, 763.</w:t>
      </w:r>
    </w:p>
  </w:footnote>
  <w:footnote w:id="110">
    <w:p w14:paraId="4E75820A" w14:textId="703B8747" w:rsidR="008B6287" w:rsidRPr="004D5C08" w:rsidRDefault="008B6287" w:rsidP="008B6287">
      <w:pPr>
        <w:pStyle w:val="FootnoteText"/>
        <w:rPr>
          <w:lang w:val="en-US"/>
        </w:rPr>
      </w:pPr>
      <w:r>
        <w:rPr>
          <w:rStyle w:val="FootnoteReference"/>
        </w:rPr>
        <w:footnoteRef/>
      </w:r>
      <w:r>
        <w:t xml:space="preserve"> </w:t>
      </w:r>
      <w:r w:rsidR="00753CF4">
        <w:t>Barbara Pozzo, ’Fashion between inspiration and appropriation’ (2020) 9(5) Laws</w:t>
      </w:r>
      <w:r w:rsidRPr="007B104D">
        <w:t xml:space="preserve"> </w:t>
      </w:r>
      <w:r>
        <w:t>8.</w:t>
      </w:r>
    </w:p>
  </w:footnote>
  <w:footnote w:id="111">
    <w:p w14:paraId="1A06F5E6" w14:textId="15F2967A" w:rsidR="008B6287" w:rsidRPr="004D5C08" w:rsidRDefault="008B6287" w:rsidP="008B6287">
      <w:pPr>
        <w:pStyle w:val="FootnoteText"/>
        <w:rPr>
          <w:lang w:val="en-US"/>
        </w:rPr>
      </w:pPr>
      <w:r>
        <w:rPr>
          <w:rStyle w:val="FootnoteReference"/>
        </w:rPr>
        <w:footnoteRef/>
      </w:r>
      <w:r>
        <w:t xml:space="preserve"> </w:t>
      </w:r>
      <w:r w:rsidR="001549A3">
        <w:t>T</w:t>
      </w:r>
      <w:r w:rsidR="00253FFD" w:rsidRPr="00253FFD">
        <w:t xml:space="preserve">he Guna people noted that the objection was not about the commercialization of the design, but that it was done ‘without consulting [them] first.’ </w:t>
      </w:r>
      <w:r>
        <w:t xml:space="preserve">Patricia Covarrubia, ’ </w:t>
      </w:r>
      <w:r w:rsidRPr="00EA3C41">
        <w:t>The Guna people to Nike: Just don't Do It</w:t>
      </w:r>
      <w:r>
        <w:t>’</w:t>
      </w:r>
      <w:r w:rsidRPr="00EA3C41">
        <w:t xml:space="preserve"> </w:t>
      </w:r>
      <w:r>
        <w:t>(</w:t>
      </w:r>
      <w:r w:rsidRPr="00EA3C41">
        <w:rPr>
          <w:i/>
          <w:iCs/>
        </w:rPr>
        <w:t>IPTango,</w:t>
      </w:r>
      <w:r>
        <w:t xml:space="preserve"> 27 May  2019) </w:t>
      </w:r>
      <w:hyperlink r:id="rId7" w:history="1">
        <w:r w:rsidRPr="005E0AE1">
          <w:rPr>
            <w:rStyle w:val="Hyperlink"/>
          </w:rPr>
          <w:t>https://iptango.blogspot.com/2019/05/the-guna-people-to-nike-just-dont-do-it.html</w:t>
        </w:r>
      </w:hyperlink>
      <w:r>
        <w:t xml:space="preserve"> accessed 30 September 2023.</w:t>
      </w:r>
    </w:p>
  </w:footnote>
  <w:footnote w:id="112">
    <w:p w14:paraId="31F92C08" w14:textId="4ECE6ABE" w:rsidR="0007497A" w:rsidRPr="004D5C08" w:rsidRDefault="0007497A" w:rsidP="0007497A">
      <w:pPr>
        <w:pStyle w:val="FootnoteText"/>
        <w:rPr>
          <w:lang w:val="en-US"/>
        </w:rPr>
      </w:pPr>
      <w:r>
        <w:rPr>
          <w:rStyle w:val="FootnoteReference"/>
        </w:rPr>
        <w:footnoteRef/>
      </w:r>
      <w:r w:rsidRPr="004D5C08">
        <w:rPr>
          <w:lang w:val="en-US"/>
        </w:rPr>
        <w:t xml:space="preserve"> </w:t>
      </w:r>
      <w:r w:rsidR="001549A3" w:rsidRPr="004D5C08">
        <w:rPr>
          <w:lang w:val="en-US"/>
        </w:rPr>
        <w:t>It</w:t>
      </w:r>
      <w:r w:rsidR="00801310" w:rsidRPr="004D5C08">
        <w:rPr>
          <w:lang w:val="en-US"/>
        </w:rPr>
        <w:t xml:space="preserve">s design would have not </w:t>
      </w:r>
      <w:proofErr w:type="gramStart"/>
      <w:r w:rsidR="00801310" w:rsidRPr="004D5C08">
        <w:rPr>
          <w:lang w:val="en-US"/>
        </w:rPr>
        <w:t>be</w:t>
      </w:r>
      <w:proofErr w:type="gramEnd"/>
      <w:r w:rsidR="00801310" w:rsidRPr="004D5C08">
        <w:rPr>
          <w:lang w:val="en-US"/>
        </w:rPr>
        <w:t xml:space="preserve"> possible without knowledge ’transmitted from generation to generation, product of the collective creativity of the Mayan people.’ </w:t>
      </w:r>
      <w:r w:rsidRPr="004D5C08">
        <w:rPr>
          <w:lang w:val="en-US"/>
        </w:rPr>
        <w:t>Patricia Covarrubia, ’ Mexico: cultural (mis) appropriation’ (</w:t>
      </w:r>
      <w:r w:rsidRPr="004D5C08">
        <w:rPr>
          <w:i/>
          <w:iCs/>
          <w:lang w:val="en-US"/>
        </w:rPr>
        <w:t>IPTango</w:t>
      </w:r>
      <w:r w:rsidRPr="004D5C08">
        <w:rPr>
          <w:lang w:val="en-US"/>
        </w:rPr>
        <w:t xml:space="preserve">, 29 July 2022) </w:t>
      </w:r>
      <w:hyperlink r:id="rId8" w:history="1">
        <w:r w:rsidRPr="004D5C08">
          <w:rPr>
            <w:rStyle w:val="Hyperlink"/>
            <w:lang w:val="en-US"/>
          </w:rPr>
          <w:t>https://iptango.blogspot.com/2022/07/mexico-cultural-mis-appropriation.html</w:t>
        </w:r>
      </w:hyperlink>
      <w:r w:rsidRPr="004D5C08">
        <w:rPr>
          <w:lang w:val="en-US"/>
        </w:rPr>
        <w:t xml:space="preserve"> accessed 30 September 2023.</w:t>
      </w:r>
    </w:p>
  </w:footnote>
  <w:footnote w:id="113">
    <w:p w14:paraId="51FD6B4F" w14:textId="74DF02CA" w:rsidR="00862049" w:rsidRPr="006F0CD7" w:rsidRDefault="00862049" w:rsidP="00862049">
      <w:pPr>
        <w:pStyle w:val="FootnoteText"/>
        <w:jc w:val="both"/>
      </w:pPr>
      <w:r>
        <w:rPr>
          <w:rStyle w:val="FootnoteReference"/>
        </w:rPr>
        <w:footnoteRef/>
      </w:r>
      <w:r>
        <w:t xml:space="preserve"> </w:t>
      </w:r>
      <w:r w:rsidR="00811FD8" w:rsidRPr="00811FD8">
        <w:t>WIPO Intergovernmental Committee on Intellectual Property and Genetic Resources, Traditional Knowledge and Folklore (IGC)</w:t>
      </w:r>
      <w:r w:rsidR="00811FD8">
        <w:t>.</w:t>
      </w:r>
    </w:p>
  </w:footnote>
  <w:footnote w:id="114">
    <w:p w14:paraId="222A77A7" w14:textId="1DAC79A2" w:rsidR="00412663" w:rsidRPr="002D1C46" w:rsidRDefault="00412663" w:rsidP="00412663">
      <w:pPr>
        <w:pStyle w:val="FootnoteText"/>
        <w:jc w:val="both"/>
      </w:pPr>
      <w:r>
        <w:rPr>
          <w:rStyle w:val="FootnoteReference"/>
        </w:rPr>
        <w:footnoteRef/>
      </w:r>
      <w:r>
        <w:t xml:space="preserve"> Swakopmund Protocol on the Protection of Traditional Knowledge and Expressions of Folklore withing the </w:t>
      </w:r>
      <w:r w:rsidR="00BE6904">
        <w:t>framework</w:t>
      </w:r>
      <w:r>
        <w:t xml:space="preserve"> of the African Regional Intellectual Property Organization (ARIPO); Kenyan</w:t>
      </w:r>
      <w:r w:rsidRPr="00FB1915">
        <w:t xml:space="preserve"> P</w:t>
      </w:r>
      <w:r>
        <w:t xml:space="preserve">rotection of Traditional Knowledge and Cultural Expressions Act 2016 </w:t>
      </w:r>
      <w:r w:rsidRPr="00FB1915">
        <w:t xml:space="preserve">No 33 of </w:t>
      </w:r>
      <w:proofErr w:type="gramStart"/>
      <w:r w:rsidRPr="00FB1915">
        <w:t>2016</w:t>
      </w:r>
      <w:r>
        <w:t xml:space="preserve"> ;</w:t>
      </w:r>
      <w:proofErr w:type="gramEnd"/>
      <w:r>
        <w:t xml:space="preserve"> Panama </w:t>
      </w:r>
      <w:r w:rsidRPr="00781892">
        <w:t>Law No. 20 of June 26, 2000</w:t>
      </w:r>
      <w:r>
        <w:t>.</w:t>
      </w:r>
    </w:p>
  </w:footnote>
  <w:footnote w:id="115">
    <w:p w14:paraId="1E47E3C5" w14:textId="77777777" w:rsidR="004D5C08" w:rsidRPr="002E0E80" w:rsidRDefault="004D5C08" w:rsidP="004D5C08">
      <w:pPr>
        <w:pStyle w:val="FootnoteText"/>
        <w:rPr>
          <w:lang w:val="en-US"/>
        </w:rPr>
      </w:pPr>
      <w:r>
        <w:rPr>
          <w:rStyle w:val="FootnoteReference"/>
        </w:rPr>
        <w:footnoteRef/>
      </w:r>
      <w:r w:rsidRPr="007367F4">
        <w:rPr>
          <w:lang w:val="en-US"/>
        </w:rPr>
        <w:t xml:space="preserve"> </w:t>
      </w:r>
      <w:r w:rsidRPr="002E0E80">
        <w:rPr>
          <w:lang w:val="en-US"/>
        </w:rPr>
        <w:t>Kirchherr, Julian</w:t>
      </w:r>
      <w:r>
        <w:rPr>
          <w:lang w:val="en-US"/>
        </w:rPr>
        <w:t xml:space="preserve">; </w:t>
      </w:r>
      <w:proofErr w:type="spellStart"/>
      <w:r w:rsidRPr="002E0E80">
        <w:rPr>
          <w:lang w:val="en-US"/>
        </w:rPr>
        <w:t>Reike</w:t>
      </w:r>
      <w:proofErr w:type="spellEnd"/>
      <w:r>
        <w:rPr>
          <w:lang w:val="en-US"/>
        </w:rPr>
        <w:t>,</w:t>
      </w:r>
      <w:r w:rsidRPr="002E0E80">
        <w:rPr>
          <w:lang w:val="en-US"/>
        </w:rPr>
        <w:t xml:space="preserve"> Denise</w:t>
      </w:r>
      <w:r>
        <w:rPr>
          <w:lang w:val="en-US"/>
        </w:rPr>
        <w:t>;</w:t>
      </w:r>
      <w:r w:rsidRPr="002E0E80">
        <w:rPr>
          <w:lang w:val="en-US"/>
        </w:rPr>
        <w:t xml:space="preserve"> Hekkert, Marko</w:t>
      </w:r>
      <w:r>
        <w:rPr>
          <w:lang w:val="en-US"/>
        </w:rPr>
        <w:t xml:space="preserve">, </w:t>
      </w:r>
      <w:r w:rsidRPr="002E0E80">
        <w:rPr>
          <w:lang w:val="en-US"/>
        </w:rPr>
        <w:t>Conceptualizing the circular economy: An analysis of 114 definitions,</w:t>
      </w:r>
      <w:r>
        <w:rPr>
          <w:lang w:val="en-US"/>
        </w:rPr>
        <w:t xml:space="preserve"> </w:t>
      </w:r>
      <w:r w:rsidRPr="002E0E80">
        <w:rPr>
          <w:lang w:val="en-US"/>
        </w:rPr>
        <w:t>Resources, Conservation and Recycling,</w:t>
      </w:r>
      <w:r>
        <w:rPr>
          <w:lang w:val="en-US"/>
        </w:rPr>
        <w:t xml:space="preserve"> </w:t>
      </w:r>
      <w:r w:rsidRPr="002E0E80">
        <w:rPr>
          <w:lang w:val="en-US"/>
        </w:rPr>
        <w:t>Volume 127,</w:t>
      </w:r>
      <w:r>
        <w:rPr>
          <w:lang w:val="en-US"/>
        </w:rPr>
        <w:t xml:space="preserve"> </w:t>
      </w:r>
      <w:r w:rsidRPr="002E0E80">
        <w:rPr>
          <w:lang w:val="en-US"/>
        </w:rPr>
        <w:t>2017,</w:t>
      </w:r>
      <w:r>
        <w:rPr>
          <w:lang w:val="en-US"/>
        </w:rPr>
        <w:t xml:space="preserve"> </w:t>
      </w:r>
      <w:r w:rsidRPr="002E0E80">
        <w:rPr>
          <w:lang w:val="en-US"/>
        </w:rPr>
        <w:t>Pages 221-232,</w:t>
      </w:r>
      <w:r>
        <w:rPr>
          <w:lang w:val="en-US"/>
        </w:rPr>
        <w:t xml:space="preserve"> </w:t>
      </w:r>
      <w:r w:rsidRPr="002E0E80">
        <w:rPr>
          <w:lang w:val="en-US"/>
        </w:rPr>
        <w:t>ISSN 0921-3449,</w:t>
      </w:r>
    </w:p>
    <w:p w14:paraId="46F9BAAF" w14:textId="77777777" w:rsidR="004D5C08" w:rsidRPr="007367F4" w:rsidRDefault="00014B53" w:rsidP="004D5C08">
      <w:pPr>
        <w:pStyle w:val="FootnoteText"/>
        <w:rPr>
          <w:lang w:val="en-US"/>
        </w:rPr>
      </w:pPr>
      <w:hyperlink r:id="rId9" w:history="1">
        <w:r w:rsidR="004D5C08" w:rsidRPr="007367F4">
          <w:rPr>
            <w:rStyle w:val="Hyperlink"/>
            <w:lang w:val="en-US"/>
          </w:rPr>
          <w:t>https://doi.org/10.1016/j.resconrec.2017.09.005</w:t>
        </w:r>
      </w:hyperlink>
      <w:r w:rsidR="004D5C08" w:rsidRPr="007367F4">
        <w:rPr>
          <w:lang w:val="en-US"/>
        </w:rPr>
        <w:t xml:space="preserve">, </w:t>
      </w:r>
      <w:hyperlink r:id="rId10" w:history="1">
        <w:r w:rsidR="004D5C08" w:rsidRPr="007367F4">
          <w:rPr>
            <w:rStyle w:val="Hyperlink"/>
            <w:lang w:val="en-US"/>
          </w:rPr>
          <w:t>https://www.sciencedirect.com/science/article/pii/S0921344917302835</w:t>
        </w:r>
      </w:hyperlink>
    </w:p>
  </w:footnote>
  <w:footnote w:id="116">
    <w:p w14:paraId="757B954D" w14:textId="77777777" w:rsidR="004D5C08" w:rsidRPr="004D5C08" w:rsidRDefault="004D5C08" w:rsidP="004D5C08">
      <w:pPr>
        <w:pStyle w:val="FootnoteText"/>
        <w:rPr>
          <w:lang w:val="sv-SE"/>
        </w:rPr>
      </w:pPr>
      <w:r>
        <w:rPr>
          <w:rStyle w:val="FootnoteReference"/>
        </w:rPr>
        <w:footnoteRef/>
      </w:r>
      <w:r w:rsidRPr="004D5C08">
        <w:rPr>
          <w:lang w:val="sv-SE"/>
        </w:rPr>
        <w:t xml:space="preserve"> Marvin Henry, Daan Schraven, Nancy Bocken, Koen Frenken, Marko Hekkert, Julian Kirchherr,</w:t>
      </w:r>
    </w:p>
    <w:p w14:paraId="211BA0FD" w14:textId="77777777" w:rsidR="004D5C08" w:rsidRPr="006A7F8A" w:rsidRDefault="004D5C08" w:rsidP="004D5C08">
      <w:pPr>
        <w:pStyle w:val="FootnoteText"/>
        <w:rPr>
          <w:lang w:val="en-US"/>
        </w:rPr>
      </w:pPr>
      <w:r w:rsidRPr="006A7F8A">
        <w:rPr>
          <w:lang w:val="en-US"/>
        </w:rPr>
        <w:t>The battle of the buzzwords: A comparative review of the circular economy and the sharing economy concepts,</w:t>
      </w:r>
    </w:p>
    <w:p w14:paraId="3BFBC0AF" w14:textId="77777777" w:rsidR="004D5C08" w:rsidRPr="006A7F8A" w:rsidRDefault="004D5C08" w:rsidP="004D5C08">
      <w:pPr>
        <w:pStyle w:val="FootnoteText"/>
        <w:rPr>
          <w:lang w:val="en-US"/>
        </w:rPr>
      </w:pPr>
      <w:r w:rsidRPr="006A7F8A">
        <w:rPr>
          <w:lang w:val="en-US"/>
        </w:rPr>
        <w:t>Environmental Innovation and Societal Transitions,</w:t>
      </w:r>
    </w:p>
    <w:p w14:paraId="441BCAF2" w14:textId="77777777" w:rsidR="004D5C08" w:rsidRPr="007367F4" w:rsidRDefault="004D5C08" w:rsidP="004D5C08">
      <w:pPr>
        <w:pStyle w:val="FootnoteText"/>
        <w:rPr>
          <w:lang w:val="en-US"/>
        </w:rPr>
      </w:pPr>
      <w:r w:rsidRPr="00D34F2C">
        <w:rPr>
          <w:lang w:val="en-US"/>
        </w:rPr>
        <w:t>Volume 38, 2021, Pages 1-21.</w:t>
      </w:r>
    </w:p>
  </w:footnote>
  <w:footnote w:id="117">
    <w:p w14:paraId="794589CA" w14:textId="77777777" w:rsidR="004D5C08" w:rsidRPr="00D34F2C" w:rsidRDefault="004D5C08" w:rsidP="004D5C08">
      <w:pPr>
        <w:pStyle w:val="FootnoteText"/>
        <w:rPr>
          <w:lang w:val="en-US"/>
        </w:rPr>
      </w:pPr>
      <w:r>
        <w:rPr>
          <w:rStyle w:val="FootnoteReference"/>
        </w:rPr>
        <w:footnoteRef/>
      </w:r>
      <w:r w:rsidRPr="00D34F2C">
        <w:rPr>
          <w:lang w:val="en-US"/>
        </w:rPr>
        <w:t xml:space="preserve"> </w:t>
      </w:r>
      <w:r w:rsidRPr="00A82DC1">
        <w:rPr>
          <w:lang w:val="en-US"/>
        </w:rPr>
        <w:t xml:space="preserve">Ellen Macarthur Foundation, What is a circular economy?, </w:t>
      </w:r>
      <w:hyperlink r:id="rId11" w:history="1">
        <w:r w:rsidRPr="00E71DC5">
          <w:rPr>
            <w:rStyle w:val="Hyperlink"/>
            <w:lang w:val="en-US"/>
          </w:rPr>
          <w:t>https://ellenmacarthurfoundation.org/topics/circular-economy-introduction/overview</w:t>
        </w:r>
      </w:hyperlink>
      <w:r>
        <w:rPr>
          <w:rStyle w:val="Hyperlink"/>
          <w:lang w:val="en-US"/>
        </w:rPr>
        <w:t>.</w:t>
      </w:r>
    </w:p>
  </w:footnote>
  <w:footnote w:id="118">
    <w:p w14:paraId="7BC40F74" w14:textId="77777777" w:rsidR="004D5C08" w:rsidRPr="00B928FA" w:rsidRDefault="004D5C08" w:rsidP="004D5C08">
      <w:pPr>
        <w:pStyle w:val="FootnoteText"/>
        <w:rPr>
          <w:lang w:val="en-US"/>
        </w:rPr>
      </w:pPr>
      <w:r>
        <w:rPr>
          <w:rStyle w:val="FootnoteReference"/>
        </w:rPr>
        <w:footnoteRef/>
      </w:r>
      <w:r w:rsidRPr="00B928FA">
        <w:rPr>
          <w:lang w:val="en-US"/>
        </w:rPr>
        <w:t xml:space="preserve"> </w:t>
      </w:r>
      <w:r w:rsidRPr="00B52EC1">
        <w:rPr>
          <w:lang w:val="en-US"/>
        </w:rPr>
        <w:t>Tischner</w:t>
      </w:r>
      <w:r>
        <w:rPr>
          <w:lang w:val="en-US"/>
        </w:rPr>
        <w:t>, A</w:t>
      </w:r>
      <w:r w:rsidRPr="00B52EC1">
        <w:rPr>
          <w:lang w:val="en-US"/>
        </w:rPr>
        <w:t xml:space="preserve">nna </w:t>
      </w:r>
      <w:r>
        <w:rPr>
          <w:lang w:val="en-US"/>
        </w:rPr>
        <w:t xml:space="preserve">and </w:t>
      </w:r>
      <w:r w:rsidRPr="00B52EC1">
        <w:rPr>
          <w:lang w:val="en-US"/>
        </w:rPr>
        <w:t>Stasiuk</w:t>
      </w:r>
      <w:r>
        <w:rPr>
          <w:lang w:val="en-US"/>
        </w:rPr>
        <w:t xml:space="preserve">, </w:t>
      </w:r>
      <w:r w:rsidRPr="00B52EC1">
        <w:rPr>
          <w:lang w:val="en-US"/>
        </w:rPr>
        <w:t>Katarzyna</w:t>
      </w:r>
      <w:r>
        <w:rPr>
          <w:lang w:val="en-US"/>
        </w:rPr>
        <w:t xml:space="preserve">, </w:t>
      </w:r>
      <w:r w:rsidRPr="00B928FA">
        <w:rPr>
          <w:lang w:val="en-US"/>
        </w:rPr>
        <w:t xml:space="preserve">Spare Parts, Repairs, </w:t>
      </w:r>
      <w:proofErr w:type="gramStart"/>
      <w:r w:rsidRPr="00B928FA">
        <w:rPr>
          <w:lang w:val="en-US"/>
        </w:rPr>
        <w:t>Trade Marks</w:t>
      </w:r>
      <w:proofErr w:type="gramEnd"/>
      <w:r w:rsidRPr="00B928FA">
        <w:rPr>
          <w:lang w:val="en-US"/>
        </w:rPr>
        <w:t xml:space="preserve"> and Consumer Understanding</w:t>
      </w:r>
      <w:r>
        <w:rPr>
          <w:lang w:val="en-US"/>
        </w:rPr>
        <w:t>, IIC</w:t>
      </w:r>
      <w:r w:rsidRPr="00293AC3">
        <w:rPr>
          <w:lang w:val="en-US"/>
        </w:rPr>
        <w:t xml:space="preserve"> </w:t>
      </w:r>
      <w:proofErr w:type="spellStart"/>
      <w:r w:rsidRPr="00293AC3">
        <w:rPr>
          <w:lang w:val="en-US"/>
        </w:rPr>
        <w:t>IIC</w:t>
      </w:r>
      <w:proofErr w:type="spellEnd"/>
      <w:r w:rsidRPr="00293AC3">
        <w:rPr>
          <w:lang w:val="en-US"/>
        </w:rPr>
        <w:t xml:space="preserve"> (2023) 54</w:t>
      </w:r>
      <w:r>
        <w:rPr>
          <w:lang w:val="en-US"/>
        </w:rPr>
        <w:t xml:space="preserve">:30, </w:t>
      </w:r>
      <w:r w:rsidRPr="00293AC3">
        <w:rPr>
          <w:lang w:val="en-US"/>
        </w:rPr>
        <w:t>https://doi.org/10.1007/s40319-022-01274-8</w:t>
      </w:r>
      <w:r>
        <w:rPr>
          <w:lang w:val="en-US"/>
        </w:rPr>
        <w:t>.</w:t>
      </w:r>
    </w:p>
  </w:footnote>
  <w:footnote w:id="119">
    <w:p w14:paraId="2B91C5C2" w14:textId="77777777" w:rsidR="004D5C08" w:rsidRPr="00AA0EAC" w:rsidRDefault="004D5C08" w:rsidP="004D5C08">
      <w:pPr>
        <w:pStyle w:val="FootnoteText"/>
        <w:rPr>
          <w:lang w:val="en-US"/>
        </w:rPr>
      </w:pPr>
      <w:r>
        <w:rPr>
          <w:rStyle w:val="FootnoteReference"/>
        </w:rPr>
        <w:footnoteRef/>
      </w:r>
      <w:r w:rsidRPr="00AA0EAC">
        <w:rPr>
          <w:lang w:val="en-US"/>
        </w:rPr>
        <w:t xml:space="preserve"> </w:t>
      </w:r>
      <w:r>
        <w:rPr>
          <w:lang w:val="en-US"/>
        </w:rPr>
        <w:t>Proposal</w:t>
      </w:r>
      <w:r w:rsidRPr="00AA0EAC">
        <w:rPr>
          <w:lang w:val="en-US"/>
        </w:rPr>
        <w:t xml:space="preserve"> for a directive of the European Parliament and of the Council on the legal protection of designs (recast) of 28.11.2022, </w:t>
      </w:r>
      <w:proofErr w:type="gramStart"/>
      <w:r w:rsidRPr="00AA0EAC">
        <w:rPr>
          <w:lang w:val="en-US"/>
        </w:rPr>
        <w:t>COM(</w:t>
      </w:r>
      <w:proofErr w:type="gramEnd"/>
      <w:r w:rsidRPr="00AA0EAC">
        <w:rPr>
          <w:lang w:val="en-US"/>
        </w:rPr>
        <w:t>2022) 667 final</w:t>
      </w:r>
      <w:r>
        <w:rPr>
          <w:lang w:val="en-US"/>
        </w:rPr>
        <w:t xml:space="preserve"> and </w:t>
      </w:r>
      <w:r w:rsidRPr="00EE13F5">
        <w:rPr>
          <w:lang w:val="en-US"/>
        </w:rPr>
        <w:t xml:space="preserve">Proposal for a </w:t>
      </w:r>
      <w:r>
        <w:rPr>
          <w:lang w:val="en-US"/>
        </w:rPr>
        <w:t xml:space="preserve">Regulation of the </w:t>
      </w:r>
      <w:r w:rsidRPr="00EE13F5">
        <w:rPr>
          <w:lang w:val="en-US"/>
        </w:rPr>
        <w:t>E</w:t>
      </w:r>
      <w:r>
        <w:rPr>
          <w:lang w:val="en-US"/>
        </w:rPr>
        <w:t xml:space="preserve">uropean </w:t>
      </w:r>
      <w:r w:rsidRPr="00EE13F5">
        <w:rPr>
          <w:lang w:val="en-US"/>
        </w:rPr>
        <w:t>P</w:t>
      </w:r>
      <w:r>
        <w:rPr>
          <w:lang w:val="en-US"/>
        </w:rPr>
        <w:t xml:space="preserve">arliament and of the Council </w:t>
      </w:r>
      <w:r w:rsidRPr="00EE13F5">
        <w:rPr>
          <w:lang w:val="en-US"/>
        </w:rPr>
        <w:t>amending Council Regulation (EC) No 6/2002 on Community designs and repealing Commission Regulation (EC) No 2246/2002</w:t>
      </w:r>
      <w:r>
        <w:rPr>
          <w:lang w:val="en-US"/>
        </w:rPr>
        <w:t xml:space="preserve">, </w:t>
      </w:r>
      <w:r w:rsidRPr="00EE13F5">
        <w:rPr>
          <w:lang w:val="en-US"/>
        </w:rPr>
        <w:t>COM/2022/666 final</w:t>
      </w:r>
    </w:p>
  </w:footnote>
  <w:footnote w:id="120">
    <w:p w14:paraId="125C7D9E" w14:textId="77777777" w:rsidR="004D5C08" w:rsidRPr="00CA40B2" w:rsidRDefault="004D5C08" w:rsidP="004D5C08">
      <w:pPr>
        <w:pStyle w:val="FootnoteText"/>
        <w:rPr>
          <w:lang w:val="en-US"/>
        </w:rPr>
      </w:pPr>
      <w:r>
        <w:rPr>
          <w:rStyle w:val="FootnoteReference"/>
        </w:rPr>
        <w:footnoteRef/>
      </w:r>
      <w:r w:rsidRPr="00CA40B2">
        <w:rPr>
          <w:lang w:val="en-US"/>
        </w:rPr>
        <w:t xml:space="preserve"> </w:t>
      </w:r>
      <w:r w:rsidRPr="00A16CD1">
        <w:rPr>
          <w:lang w:val="en-US"/>
        </w:rPr>
        <w:t xml:space="preserve">Baden, Denise, Ken Peattie, and Adekunle </w:t>
      </w:r>
      <w:proofErr w:type="spellStart"/>
      <w:r w:rsidRPr="00A16CD1">
        <w:rPr>
          <w:lang w:val="en-US"/>
        </w:rPr>
        <w:t>Oke</w:t>
      </w:r>
      <w:proofErr w:type="spellEnd"/>
      <w:r w:rsidRPr="00A16CD1">
        <w:rPr>
          <w:lang w:val="en-US"/>
        </w:rPr>
        <w:t xml:space="preserve">. 2020. </w:t>
      </w:r>
      <w:r w:rsidRPr="00475232">
        <w:rPr>
          <w:lang w:val="en-US"/>
        </w:rPr>
        <w:t>"Access Over Ownership: Case Studies of Libraries of Things" </w:t>
      </w:r>
      <w:r w:rsidRPr="00475232">
        <w:rPr>
          <w:i/>
          <w:iCs/>
          <w:lang w:val="en-US"/>
        </w:rPr>
        <w:t>Sustainability</w:t>
      </w:r>
      <w:r w:rsidRPr="00475232">
        <w:rPr>
          <w:lang w:val="en-US"/>
        </w:rPr>
        <w:t> 12, no. 17: 7180. https://doi.org/10.3390/su12177180</w:t>
      </w:r>
      <w:r>
        <w:rPr>
          <w:lang w:val="en-US"/>
        </w:rPr>
        <w:t>.</w:t>
      </w:r>
    </w:p>
  </w:footnote>
  <w:footnote w:id="121">
    <w:p w14:paraId="014BDD96" w14:textId="77777777" w:rsidR="004D5C08" w:rsidRPr="00CA40B2" w:rsidRDefault="004D5C08" w:rsidP="004D5C08">
      <w:pPr>
        <w:pStyle w:val="FootnoteText"/>
        <w:rPr>
          <w:lang w:val="en-US"/>
        </w:rPr>
      </w:pPr>
      <w:r>
        <w:rPr>
          <w:rStyle w:val="FootnoteReference"/>
        </w:rPr>
        <w:footnoteRef/>
      </w:r>
      <w:r w:rsidRPr="00CA40B2">
        <w:rPr>
          <w:lang w:val="en-US"/>
        </w:rPr>
        <w:t xml:space="preserve"> </w:t>
      </w:r>
      <w:r>
        <w:rPr>
          <w:lang w:val="en-US"/>
        </w:rPr>
        <w:t xml:space="preserve">Ellen Macarthur Foundation, </w:t>
      </w:r>
      <w:r w:rsidRPr="00BA03B9">
        <w:rPr>
          <w:lang w:val="en-US"/>
        </w:rPr>
        <w:t>How tool sharing could become a public utility: Toronto Tool Library and Makerspace</w:t>
      </w:r>
      <w:r>
        <w:rPr>
          <w:lang w:val="en-US"/>
        </w:rPr>
        <w:t xml:space="preserve">, </w:t>
      </w:r>
      <w:hyperlink r:id="rId12" w:history="1">
        <w:r w:rsidRPr="00DF6CAF">
          <w:rPr>
            <w:rStyle w:val="Hyperlink"/>
            <w:lang w:val="en-US"/>
          </w:rPr>
          <w:t>https://ellenmacarthurfoundation.org/circular-examples/how-tool-sharing-could-become-a-public-utility</w:t>
        </w:r>
      </w:hyperlink>
      <w:r>
        <w:rPr>
          <w:rStyle w:val="Hyperlink"/>
          <w:lang w:val="en-US"/>
        </w:rPr>
        <w:t>.</w:t>
      </w:r>
    </w:p>
  </w:footnote>
  <w:footnote w:id="122">
    <w:p w14:paraId="56806608" w14:textId="77777777" w:rsidR="004D5C08" w:rsidRPr="00FB717B" w:rsidRDefault="004D5C08" w:rsidP="004D5C08">
      <w:pPr>
        <w:pStyle w:val="FootnoteText"/>
        <w:rPr>
          <w:lang w:val="en-US"/>
        </w:rPr>
      </w:pPr>
      <w:r>
        <w:rPr>
          <w:rStyle w:val="FootnoteReference"/>
        </w:rPr>
        <w:footnoteRef/>
      </w:r>
      <w:r w:rsidRPr="00FB717B">
        <w:rPr>
          <w:lang w:val="en-US"/>
        </w:rPr>
        <w:t xml:space="preserve"> See</w:t>
      </w:r>
      <w:r>
        <w:rPr>
          <w:lang w:val="en-US"/>
        </w:rPr>
        <w:t>,</w:t>
      </w:r>
      <w:r w:rsidRPr="00FB717B">
        <w:rPr>
          <w:lang w:val="en-US"/>
        </w:rPr>
        <w:t xml:space="preserve"> for example Hôtel, https://www.hotelvetements.com/blogs/infos/our-story</w:t>
      </w:r>
      <w:r>
        <w:rPr>
          <w:lang w:val="en-US"/>
        </w:rPr>
        <w:t>.</w:t>
      </w:r>
    </w:p>
  </w:footnote>
  <w:footnote w:id="123">
    <w:p w14:paraId="16D736FF" w14:textId="77777777" w:rsidR="004D5C08" w:rsidRPr="00FB717B" w:rsidRDefault="004D5C08" w:rsidP="004D5C08">
      <w:pPr>
        <w:pStyle w:val="FootnoteText"/>
        <w:rPr>
          <w:lang w:val="en-US"/>
        </w:rPr>
      </w:pPr>
      <w:r>
        <w:rPr>
          <w:rStyle w:val="FootnoteReference"/>
        </w:rPr>
        <w:footnoteRef/>
      </w:r>
      <w:r w:rsidRPr="00FB717B">
        <w:rPr>
          <w:lang w:val="en-US"/>
        </w:rPr>
        <w:t xml:space="preserve"> See</w:t>
      </w:r>
      <w:r>
        <w:rPr>
          <w:lang w:val="en-US"/>
        </w:rPr>
        <w:t>,</w:t>
      </w:r>
      <w:r w:rsidRPr="00FB717B">
        <w:rPr>
          <w:lang w:val="en-US"/>
        </w:rPr>
        <w:t xml:space="preserve"> for example Shiver + Duke</w:t>
      </w:r>
      <w:r>
        <w:rPr>
          <w:lang w:val="en-US"/>
        </w:rPr>
        <w:t>,</w:t>
      </w:r>
      <w:r w:rsidRPr="00FB717B">
        <w:rPr>
          <w:lang w:val="en-US"/>
        </w:rPr>
        <w:t xml:space="preserve"> which made accessories of old Chanel </w:t>
      </w:r>
      <w:r>
        <w:rPr>
          <w:lang w:val="en-US"/>
        </w:rPr>
        <w:t>buttons.</w:t>
      </w:r>
    </w:p>
  </w:footnote>
  <w:footnote w:id="124">
    <w:p w14:paraId="59659DC4" w14:textId="77777777" w:rsidR="004D5C08" w:rsidRPr="004D5C08" w:rsidRDefault="004D5C08" w:rsidP="004D5C08">
      <w:pPr>
        <w:pStyle w:val="FootnoteText"/>
        <w:rPr>
          <w:lang w:val="sv-SE"/>
        </w:rPr>
      </w:pPr>
      <w:r>
        <w:rPr>
          <w:rStyle w:val="FootnoteReference"/>
        </w:rPr>
        <w:footnoteRef/>
      </w:r>
      <w:r w:rsidRPr="004D5C08">
        <w:rPr>
          <w:lang w:val="sv-SE"/>
        </w:rPr>
        <w:t xml:space="preserve"> I-ZR 89/08 Verlängerte Limousinen [2010] GRUR Int 12/2010 (Bundesgerichtshof, 22 April 2010) 1072.</w:t>
      </w:r>
    </w:p>
  </w:footnote>
  <w:footnote w:id="125">
    <w:p w14:paraId="449AA8B0" w14:textId="77777777" w:rsidR="00313758" w:rsidRPr="002743F3" w:rsidRDefault="00313758" w:rsidP="00313758">
      <w:pPr>
        <w:pStyle w:val="FootnoteText"/>
        <w:rPr>
          <w:lang w:val="sv-SE"/>
        </w:rPr>
      </w:pPr>
      <w:r>
        <w:rPr>
          <w:rStyle w:val="FootnoteReference"/>
        </w:rPr>
        <w:footnoteRef/>
      </w:r>
      <w:r w:rsidRPr="002743F3">
        <w:rPr>
          <w:lang w:val="sv-SE"/>
        </w:rPr>
        <w:t xml:space="preserve"> C-237/19, ECLI:EU:C:2020:296, Gömböc, para 50.</w:t>
      </w:r>
    </w:p>
  </w:footnote>
  <w:footnote w:id="126">
    <w:p w14:paraId="7C464AB1" w14:textId="77777777" w:rsidR="00313758" w:rsidRPr="002743F3" w:rsidRDefault="00313758" w:rsidP="00313758">
      <w:pPr>
        <w:pStyle w:val="FootnoteText"/>
        <w:rPr>
          <w:lang w:val="sv-SE"/>
        </w:rPr>
      </w:pPr>
      <w:r>
        <w:rPr>
          <w:rStyle w:val="FootnoteReference"/>
        </w:rPr>
        <w:footnoteRef/>
      </w:r>
      <w:r w:rsidRPr="002743F3">
        <w:rPr>
          <w:lang w:val="sv-SE"/>
        </w:rPr>
        <w:t xml:space="preserve"> C-310/17, EU:C:2018:899, Levola Hengelo, para. 36.</w:t>
      </w:r>
    </w:p>
  </w:footnote>
  <w:footnote w:id="127">
    <w:p w14:paraId="2FAC5194" w14:textId="77777777" w:rsidR="00313758" w:rsidRPr="002743F3" w:rsidRDefault="00313758" w:rsidP="00313758">
      <w:pPr>
        <w:pStyle w:val="FootnoteText"/>
        <w:rPr>
          <w:lang w:val="sv-SE"/>
        </w:rPr>
      </w:pPr>
      <w:r>
        <w:rPr>
          <w:rStyle w:val="FootnoteReference"/>
        </w:rPr>
        <w:footnoteRef/>
      </w:r>
      <w:r w:rsidRPr="002743F3">
        <w:rPr>
          <w:lang w:val="sv-SE"/>
        </w:rPr>
        <w:t xml:space="preserve"> C-145/10, EU:C:2011:798, Painer, para 89.</w:t>
      </w:r>
    </w:p>
  </w:footnote>
  <w:footnote w:id="128">
    <w:p w14:paraId="00C25630" w14:textId="77777777" w:rsidR="00313758" w:rsidRPr="002743F3" w:rsidRDefault="00313758" w:rsidP="00313758">
      <w:pPr>
        <w:pStyle w:val="FootnoteText"/>
        <w:rPr>
          <w:lang w:val="sv-SE"/>
        </w:rPr>
      </w:pPr>
      <w:r>
        <w:rPr>
          <w:rStyle w:val="FootnoteReference"/>
        </w:rPr>
        <w:footnoteRef/>
      </w:r>
      <w:r w:rsidRPr="002743F3">
        <w:rPr>
          <w:lang w:val="sv-SE"/>
        </w:rPr>
        <w:t xml:space="preserve"> Ibid, para 88 and 92.</w:t>
      </w:r>
    </w:p>
  </w:footnote>
  <w:footnote w:id="129">
    <w:p w14:paraId="3A71247D" w14:textId="77777777" w:rsidR="00313758" w:rsidRPr="00E212EE" w:rsidRDefault="00313758" w:rsidP="00313758">
      <w:pPr>
        <w:pStyle w:val="FootnoteText"/>
        <w:rPr>
          <w:lang w:val="sv-SE"/>
        </w:rPr>
      </w:pPr>
      <w:r>
        <w:rPr>
          <w:rStyle w:val="FootnoteReference"/>
        </w:rPr>
        <w:footnoteRef/>
      </w:r>
      <w:r w:rsidRPr="002743F3">
        <w:rPr>
          <w:lang w:val="sv-SE"/>
        </w:rPr>
        <w:t xml:space="preserve"> </w:t>
      </w:r>
      <w:r w:rsidRPr="00E212EE">
        <w:rPr>
          <w:lang w:val="sv-SE"/>
        </w:rPr>
        <w:t>C-310/17, EU:C:2018:899</w:t>
      </w:r>
      <w:r w:rsidRPr="002743F3">
        <w:rPr>
          <w:lang w:val="sv-SE"/>
        </w:rPr>
        <w:t>, Levola Hengelo, para 3</w:t>
      </w:r>
      <w:r w:rsidRPr="00E212EE">
        <w:rPr>
          <w:lang w:val="sv-SE"/>
        </w:rPr>
        <w:t>7.</w:t>
      </w:r>
    </w:p>
  </w:footnote>
  <w:footnote w:id="130">
    <w:p w14:paraId="219199F8" w14:textId="77777777" w:rsidR="00313758" w:rsidRPr="00E212EE" w:rsidRDefault="00313758" w:rsidP="00313758">
      <w:pPr>
        <w:pStyle w:val="FootnoteText"/>
        <w:rPr>
          <w:lang w:val="sv-SE"/>
        </w:rPr>
      </w:pPr>
      <w:r>
        <w:rPr>
          <w:rStyle w:val="FootnoteReference"/>
        </w:rPr>
        <w:footnoteRef/>
      </w:r>
      <w:r w:rsidRPr="00E212EE">
        <w:rPr>
          <w:lang w:val="sv-SE"/>
        </w:rPr>
        <w:t xml:space="preserve"> Ibid, p</w:t>
      </w:r>
      <w:r w:rsidRPr="002743F3">
        <w:rPr>
          <w:lang w:val="sv-SE"/>
        </w:rPr>
        <w:t>ara</w:t>
      </w:r>
      <w:r w:rsidRPr="00E212EE">
        <w:rPr>
          <w:lang w:val="sv-SE"/>
        </w:rPr>
        <w:t>. 40.</w:t>
      </w:r>
    </w:p>
  </w:footnote>
  <w:footnote w:id="131">
    <w:p w14:paraId="69CC73C4" w14:textId="77777777" w:rsidR="00313758" w:rsidRPr="002743F3" w:rsidRDefault="00313758" w:rsidP="00313758">
      <w:pPr>
        <w:pStyle w:val="FootnoteText"/>
        <w:rPr>
          <w:lang w:val="sv-SE"/>
        </w:rPr>
      </w:pPr>
      <w:r>
        <w:rPr>
          <w:rStyle w:val="FootnoteReference"/>
        </w:rPr>
        <w:footnoteRef/>
      </w:r>
      <w:r w:rsidRPr="002743F3">
        <w:rPr>
          <w:lang w:val="sv-SE"/>
        </w:rPr>
        <w:t xml:space="preserve"> C-833/18, EU:C:2020:461, Brompton Bicycle, para 31 and 33.</w:t>
      </w:r>
    </w:p>
  </w:footnote>
  <w:footnote w:id="132">
    <w:p w14:paraId="63821AA4" w14:textId="77777777" w:rsidR="00313758" w:rsidRPr="00F44088" w:rsidRDefault="00313758" w:rsidP="00313758">
      <w:pPr>
        <w:pStyle w:val="FootnoteText"/>
        <w:rPr>
          <w:lang w:val="sv-SE"/>
        </w:rPr>
      </w:pPr>
      <w:r>
        <w:rPr>
          <w:rStyle w:val="FootnoteReference"/>
        </w:rPr>
        <w:footnoteRef/>
      </w:r>
      <w:r w:rsidRPr="00F44088">
        <w:rPr>
          <w:lang w:val="sv-SE"/>
        </w:rPr>
        <w:t xml:space="preserve"> EPO, EP1127499 B1.</w:t>
      </w:r>
    </w:p>
  </w:footnote>
  <w:footnote w:id="133">
    <w:p w14:paraId="1144E9C3" w14:textId="77777777" w:rsidR="00313758" w:rsidRPr="008736BD" w:rsidRDefault="00313758" w:rsidP="00313758">
      <w:pPr>
        <w:pStyle w:val="FootnoteText"/>
        <w:rPr>
          <w:lang w:val="sv-SE"/>
        </w:rPr>
      </w:pPr>
      <w:r>
        <w:rPr>
          <w:rStyle w:val="FootnoteReference"/>
        </w:rPr>
        <w:footnoteRef/>
      </w:r>
      <w:r w:rsidRPr="008736BD">
        <w:rPr>
          <w:lang w:val="sv-SE"/>
        </w:rPr>
        <w:t xml:space="preserve"> EPO, </w:t>
      </w:r>
      <w:hyperlink r:id="rId13" w:history="1">
        <w:r w:rsidRPr="008736BD">
          <w:rPr>
            <w:rStyle w:val="Hyperlink"/>
            <w:lang w:val="sv-SE"/>
          </w:rPr>
          <w:t>https://www.epo.org/en/news-events/european-inventor-award/meet-the-finalists/carmen-hijosa</w:t>
        </w:r>
      </w:hyperlink>
      <w:r w:rsidRPr="008736BD">
        <w:rPr>
          <w:lang w:val="sv-SE"/>
        </w:rPr>
        <w:t>.</w:t>
      </w:r>
    </w:p>
  </w:footnote>
  <w:footnote w:id="134">
    <w:p w14:paraId="1BC88BB3" w14:textId="77777777" w:rsidR="00313758" w:rsidRPr="008736BD" w:rsidRDefault="00313758" w:rsidP="00313758">
      <w:pPr>
        <w:pStyle w:val="FootnoteText"/>
        <w:rPr>
          <w:lang w:val="fr-FR"/>
        </w:rPr>
      </w:pPr>
      <w:r>
        <w:rPr>
          <w:rStyle w:val="FootnoteReference"/>
        </w:rPr>
        <w:footnoteRef/>
      </w:r>
      <w:r w:rsidRPr="008736BD">
        <w:rPr>
          <w:lang w:val="fr-FR"/>
        </w:rPr>
        <w:t xml:space="preserve"> Article 52.1 </w:t>
      </w:r>
      <w:proofErr w:type="spellStart"/>
      <w:r w:rsidRPr="008736BD">
        <w:rPr>
          <w:lang w:val="fr-FR"/>
        </w:rPr>
        <w:t>European</w:t>
      </w:r>
      <w:proofErr w:type="spellEnd"/>
      <w:r w:rsidRPr="008736BD">
        <w:rPr>
          <w:lang w:val="fr-FR"/>
        </w:rPr>
        <w:t xml:space="preserve"> Patent Convention (EPC).</w:t>
      </w:r>
    </w:p>
  </w:footnote>
  <w:footnote w:id="135">
    <w:p w14:paraId="77A40BCB" w14:textId="77777777" w:rsidR="00313758" w:rsidRPr="00133A28" w:rsidRDefault="00313758" w:rsidP="00313758">
      <w:pPr>
        <w:pStyle w:val="FootnoteText"/>
        <w:rPr>
          <w:lang w:val="en-US"/>
        </w:rPr>
      </w:pPr>
      <w:r>
        <w:rPr>
          <w:rStyle w:val="FootnoteReference"/>
        </w:rPr>
        <w:footnoteRef/>
      </w:r>
      <w:r w:rsidRPr="00133A28">
        <w:rPr>
          <w:lang w:val="en-US"/>
        </w:rPr>
        <w:t xml:space="preserve"> Article 52</w:t>
      </w:r>
      <w:r>
        <w:rPr>
          <w:lang w:val="en-US"/>
        </w:rPr>
        <w:t>.2b EPC.</w:t>
      </w:r>
    </w:p>
  </w:footnote>
  <w:footnote w:id="136">
    <w:p w14:paraId="6B656CAB" w14:textId="77777777" w:rsidR="00313758" w:rsidRPr="006D2A76" w:rsidRDefault="00313758" w:rsidP="00313758">
      <w:pPr>
        <w:pStyle w:val="FootnoteText"/>
        <w:rPr>
          <w:lang w:val="en-US"/>
        </w:rPr>
      </w:pPr>
      <w:r>
        <w:rPr>
          <w:rStyle w:val="FootnoteReference"/>
        </w:rPr>
        <w:footnoteRef/>
      </w:r>
      <w:r w:rsidRPr="006D2A76">
        <w:rPr>
          <w:lang w:val="en-US"/>
        </w:rPr>
        <w:t xml:space="preserve"> Article 4 R</w:t>
      </w:r>
      <w:r>
        <w:rPr>
          <w:lang w:val="en-US"/>
        </w:rPr>
        <w:t xml:space="preserve">egulation (EU) 2017/1001 of the European Parliament and of the Council </w:t>
      </w:r>
      <w:r w:rsidRPr="006D2A76">
        <w:rPr>
          <w:lang w:val="en-US"/>
        </w:rPr>
        <w:t>of 14 June 2017</w:t>
      </w:r>
    </w:p>
    <w:p w14:paraId="2D06DB20" w14:textId="77777777" w:rsidR="00313758" w:rsidRPr="006D2A76" w:rsidRDefault="00313758" w:rsidP="00313758">
      <w:pPr>
        <w:pStyle w:val="FootnoteText"/>
        <w:rPr>
          <w:lang w:val="en-US"/>
        </w:rPr>
      </w:pPr>
      <w:r w:rsidRPr="006D2A76">
        <w:rPr>
          <w:lang w:val="en-US"/>
        </w:rPr>
        <w:t xml:space="preserve">on the European Union </w:t>
      </w:r>
      <w:proofErr w:type="gramStart"/>
      <w:r w:rsidRPr="006D2A76">
        <w:rPr>
          <w:lang w:val="en-US"/>
        </w:rPr>
        <w:t>trade mark</w:t>
      </w:r>
      <w:proofErr w:type="gramEnd"/>
      <w:r>
        <w:rPr>
          <w:lang w:val="en-US"/>
        </w:rPr>
        <w:t>.</w:t>
      </w:r>
    </w:p>
  </w:footnote>
  <w:footnote w:id="137">
    <w:p w14:paraId="7B112FF7" w14:textId="77777777" w:rsidR="00313758" w:rsidRPr="00886191" w:rsidRDefault="00313758" w:rsidP="00313758">
      <w:pPr>
        <w:pStyle w:val="FootnoteText"/>
        <w:rPr>
          <w:lang w:val="en-US"/>
        </w:rPr>
      </w:pPr>
      <w:r>
        <w:rPr>
          <w:rStyle w:val="FootnoteReference"/>
        </w:rPr>
        <w:footnoteRef/>
      </w:r>
      <w:r w:rsidRPr="00886191">
        <w:rPr>
          <w:lang w:val="en-US"/>
        </w:rPr>
        <w:t xml:space="preserve"> Article 3(3)(e) EUTMIR and T</w:t>
      </w:r>
      <w:r>
        <w:rPr>
          <w:lang w:val="en-US"/>
        </w:rPr>
        <w:t xml:space="preserve">rademark Guidelines, Chapter 3, </w:t>
      </w:r>
      <w:r w:rsidRPr="00297347">
        <w:rPr>
          <w:lang w:val="en-US"/>
        </w:rPr>
        <w:t xml:space="preserve">Chapter 3 Non-distinctive </w:t>
      </w:r>
      <w:proofErr w:type="gramStart"/>
      <w:r w:rsidRPr="00297347">
        <w:rPr>
          <w:lang w:val="en-US"/>
        </w:rPr>
        <w:t>trade marks</w:t>
      </w:r>
      <w:proofErr w:type="gramEnd"/>
      <w:r w:rsidRPr="00297347">
        <w:rPr>
          <w:lang w:val="en-US"/>
        </w:rPr>
        <w:t xml:space="preserve"> (Article 7(1)(b) EUTMR)</w:t>
      </w:r>
      <w:r>
        <w:rPr>
          <w:lang w:val="en-US"/>
        </w:rPr>
        <w:t>, Section 12 Pattern Marks.</w:t>
      </w:r>
    </w:p>
  </w:footnote>
  <w:footnote w:id="138">
    <w:p w14:paraId="5D6A12A9" w14:textId="77777777" w:rsidR="00313758" w:rsidRPr="004A3E64" w:rsidRDefault="00313758" w:rsidP="00313758">
      <w:pPr>
        <w:pStyle w:val="FootnoteText"/>
        <w:rPr>
          <w:lang w:val="it-IT"/>
        </w:rPr>
      </w:pPr>
      <w:r>
        <w:rPr>
          <w:rStyle w:val="FootnoteReference"/>
        </w:rPr>
        <w:footnoteRef/>
      </w:r>
      <w:r w:rsidRPr="004A3E64">
        <w:rPr>
          <w:lang w:val="it-IT"/>
        </w:rPr>
        <w:t xml:space="preserve"> EUTM No 15</w:t>
      </w:r>
      <w:r>
        <w:rPr>
          <w:lang w:val="it-IT"/>
        </w:rPr>
        <w:t> </w:t>
      </w:r>
      <w:r w:rsidRPr="004A3E64">
        <w:rPr>
          <w:lang w:val="it-IT"/>
        </w:rPr>
        <w:t>602</w:t>
      </w:r>
      <w:r>
        <w:rPr>
          <w:lang w:val="it-IT"/>
        </w:rPr>
        <w:t>.</w:t>
      </w:r>
    </w:p>
  </w:footnote>
  <w:footnote w:id="139">
    <w:p w14:paraId="495AC804" w14:textId="77777777" w:rsidR="00313758" w:rsidRPr="006D2A76" w:rsidRDefault="00313758" w:rsidP="00313758">
      <w:pPr>
        <w:pStyle w:val="FootnoteText"/>
        <w:rPr>
          <w:lang w:val="it-IT"/>
        </w:rPr>
      </w:pPr>
      <w:r>
        <w:rPr>
          <w:rStyle w:val="FootnoteReference"/>
        </w:rPr>
        <w:footnoteRef/>
      </w:r>
      <w:r w:rsidRPr="006D2A76">
        <w:rPr>
          <w:lang w:val="it-IT"/>
        </w:rPr>
        <w:t xml:space="preserve"> </w:t>
      </w:r>
      <w:bookmarkStart w:id="13" w:name="_Hlk156435837"/>
      <w:r w:rsidRPr="006D2A76">
        <w:rPr>
          <w:lang w:val="it-IT"/>
        </w:rPr>
        <w:t>Article 7(1)(e)(</w:t>
      </w:r>
      <w:r>
        <w:rPr>
          <w:lang w:val="it-IT"/>
        </w:rPr>
        <w:t>i-</w:t>
      </w:r>
      <w:r w:rsidRPr="006D2A76">
        <w:rPr>
          <w:lang w:val="it-IT"/>
        </w:rPr>
        <w:t>i</w:t>
      </w:r>
      <w:r>
        <w:rPr>
          <w:lang w:val="it-IT"/>
        </w:rPr>
        <w:t>i</w:t>
      </w:r>
      <w:r w:rsidRPr="006D2A76">
        <w:rPr>
          <w:lang w:val="it-IT"/>
        </w:rPr>
        <w:t>i) EUTMR.</w:t>
      </w:r>
      <w:bookmarkEnd w:id="13"/>
    </w:p>
  </w:footnote>
  <w:footnote w:id="140">
    <w:p w14:paraId="3AB82D80" w14:textId="77777777" w:rsidR="00313758" w:rsidRPr="002743F3" w:rsidRDefault="00313758" w:rsidP="00313758">
      <w:pPr>
        <w:pStyle w:val="FootnoteText"/>
        <w:rPr>
          <w:lang w:val="sv-SE"/>
        </w:rPr>
      </w:pPr>
      <w:r>
        <w:rPr>
          <w:rStyle w:val="FootnoteReference"/>
        </w:rPr>
        <w:footnoteRef/>
      </w:r>
      <w:r w:rsidRPr="002743F3">
        <w:rPr>
          <w:lang w:val="sv-SE"/>
        </w:rPr>
        <w:t xml:space="preserve"> </w:t>
      </w:r>
      <w:bookmarkStart w:id="14" w:name="_Hlk156441059"/>
      <w:r w:rsidRPr="002743F3">
        <w:rPr>
          <w:lang w:val="sv-SE"/>
        </w:rPr>
        <w:t>C-237/19, ECLI:EU:C:2020:296, Gömböc, para 50.</w:t>
      </w:r>
      <w:bookmarkEnd w:id="14"/>
    </w:p>
  </w:footnote>
  <w:footnote w:id="141">
    <w:p w14:paraId="46B65E7E" w14:textId="77777777" w:rsidR="00313758" w:rsidRPr="004E1795" w:rsidRDefault="00313758" w:rsidP="00313758">
      <w:pPr>
        <w:pStyle w:val="FootnoteText"/>
        <w:rPr>
          <w:lang w:val="sv-SE"/>
        </w:rPr>
      </w:pPr>
      <w:r>
        <w:rPr>
          <w:rStyle w:val="FootnoteReference"/>
        </w:rPr>
        <w:footnoteRef/>
      </w:r>
      <w:r w:rsidRPr="002743F3">
        <w:rPr>
          <w:lang w:val="sv-SE"/>
        </w:rPr>
        <w:t xml:space="preserve"> C</w:t>
      </w:r>
      <w:r w:rsidRPr="002743F3">
        <w:rPr>
          <w:rFonts w:ascii="Cambria Math" w:hAnsi="Cambria Math" w:cs="Cambria Math"/>
          <w:lang w:val="sv-SE"/>
        </w:rPr>
        <w:t>‑</w:t>
      </w:r>
      <w:r w:rsidRPr="002743F3">
        <w:rPr>
          <w:lang w:val="sv-SE"/>
        </w:rPr>
        <w:t xml:space="preserve">48/09 P, EU:C:2010:516, Lego, para 53-58. </w:t>
      </w:r>
      <w:r w:rsidRPr="004E1795">
        <w:rPr>
          <w:lang w:val="sv-SE"/>
        </w:rPr>
        <w:t xml:space="preserve">Cf. C-299/99, EU:C:2002:377, Philips, para 84. </w:t>
      </w:r>
    </w:p>
  </w:footnote>
  <w:footnote w:id="142">
    <w:p w14:paraId="5D53DD31" w14:textId="77777777" w:rsidR="00313758" w:rsidRPr="008736BD" w:rsidRDefault="00313758" w:rsidP="00313758">
      <w:pPr>
        <w:pStyle w:val="FootnoteText"/>
        <w:rPr>
          <w:lang w:val="sv-SE"/>
        </w:rPr>
      </w:pPr>
      <w:r>
        <w:rPr>
          <w:rStyle w:val="FootnoteReference"/>
        </w:rPr>
        <w:footnoteRef/>
      </w:r>
      <w:r w:rsidRPr="002743F3">
        <w:rPr>
          <w:lang w:val="sv-SE"/>
        </w:rPr>
        <w:t xml:space="preserve"> </w:t>
      </w:r>
      <w:bookmarkStart w:id="15" w:name="_Hlk156440976"/>
      <w:r w:rsidRPr="002743F3">
        <w:rPr>
          <w:lang w:val="sv-SE"/>
        </w:rPr>
        <w:t>C-237/19, ECLI:EU:C:2020:296, Gömböc, para 62.</w:t>
      </w:r>
      <w:bookmarkEnd w:id="1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1B57"/>
    <w:multiLevelType w:val="hybridMultilevel"/>
    <w:tmpl w:val="1520BF1C"/>
    <w:lvl w:ilvl="0" w:tplc="BA96864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60E3DCB"/>
    <w:multiLevelType w:val="hybridMultilevel"/>
    <w:tmpl w:val="46905AD6"/>
    <w:lvl w:ilvl="0" w:tplc="BA9686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5A17CF"/>
    <w:multiLevelType w:val="hybridMultilevel"/>
    <w:tmpl w:val="D4BCCE8C"/>
    <w:lvl w:ilvl="0" w:tplc="BA96864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2DAD019E"/>
    <w:multiLevelType w:val="hybridMultilevel"/>
    <w:tmpl w:val="1520BF1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0525894"/>
    <w:multiLevelType w:val="hybridMultilevel"/>
    <w:tmpl w:val="2F3CA13C"/>
    <w:lvl w:ilvl="0" w:tplc="041D0015">
      <w:start w:val="2"/>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CF3547D"/>
    <w:multiLevelType w:val="hybridMultilevel"/>
    <w:tmpl w:val="646E38B6"/>
    <w:lvl w:ilvl="0" w:tplc="5D54CFB8">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65314EED"/>
    <w:multiLevelType w:val="hybridMultilevel"/>
    <w:tmpl w:val="3096520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0D47AB"/>
    <w:multiLevelType w:val="hybridMultilevel"/>
    <w:tmpl w:val="9AC021F6"/>
    <w:lvl w:ilvl="0" w:tplc="30EE6DB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673806667">
    <w:abstractNumId w:val="6"/>
  </w:num>
  <w:num w:numId="2" w16cid:durableId="1897079897">
    <w:abstractNumId w:val="2"/>
  </w:num>
  <w:num w:numId="3" w16cid:durableId="537818749">
    <w:abstractNumId w:val="5"/>
  </w:num>
  <w:num w:numId="4" w16cid:durableId="1032996225">
    <w:abstractNumId w:val="0"/>
  </w:num>
  <w:num w:numId="5" w16cid:durableId="1816069368">
    <w:abstractNumId w:val="3"/>
  </w:num>
  <w:num w:numId="6" w16cid:durableId="1308125805">
    <w:abstractNumId w:val="1"/>
  </w:num>
  <w:num w:numId="7" w16cid:durableId="266354681">
    <w:abstractNumId w:val="4"/>
  </w:num>
  <w:num w:numId="8" w16cid:durableId="117908024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a Beldiman">
    <w15:presenceInfo w15:providerId="AD" w15:userId="S::DBeldiman@ssd.com::0434c2af-719b-4b24-b0a6-bf6a909d8e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F7"/>
    <w:rsid w:val="0000011A"/>
    <w:rsid w:val="00000533"/>
    <w:rsid w:val="00000AD1"/>
    <w:rsid w:val="00000ED3"/>
    <w:rsid w:val="0000155B"/>
    <w:rsid w:val="0000224E"/>
    <w:rsid w:val="00002455"/>
    <w:rsid w:val="00012221"/>
    <w:rsid w:val="00014592"/>
    <w:rsid w:val="00014B53"/>
    <w:rsid w:val="00014B61"/>
    <w:rsid w:val="000174D3"/>
    <w:rsid w:val="00022F43"/>
    <w:rsid w:val="000231DA"/>
    <w:rsid w:val="00025BAF"/>
    <w:rsid w:val="000260E7"/>
    <w:rsid w:val="00026F8C"/>
    <w:rsid w:val="00033B20"/>
    <w:rsid w:val="00034103"/>
    <w:rsid w:val="0003429E"/>
    <w:rsid w:val="00034428"/>
    <w:rsid w:val="000348B8"/>
    <w:rsid w:val="000348DC"/>
    <w:rsid w:val="000363A7"/>
    <w:rsid w:val="00037DAF"/>
    <w:rsid w:val="00037F15"/>
    <w:rsid w:val="00040038"/>
    <w:rsid w:val="000403B7"/>
    <w:rsid w:val="00041E6C"/>
    <w:rsid w:val="00042069"/>
    <w:rsid w:val="00042290"/>
    <w:rsid w:val="00042946"/>
    <w:rsid w:val="00043033"/>
    <w:rsid w:val="00043CAC"/>
    <w:rsid w:val="00051D55"/>
    <w:rsid w:val="00052470"/>
    <w:rsid w:val="00054DEC"/>
    <w:rsid w:val="00060B06"/>
    <w:rsid w:val="0006155A"/>
    <w:rsid w:val="000615B9"/>
    <w:rsid w:val="0006324D"/>
    <w:rsid w:val="00063CF0"/>
    <w:rsid w:val="00065757"/>
    <w:rsid w:val="00067191"/>
    <w:rsid w:val="00067DD8"/>
    <w:rsid w:val="00070FC4"/>
    <w:rsid w:val="000741FA"/>
    <w:rsid w:val="0007497A"/>
    <w:rsid w:val="00074E83"/>
    <w:rsid w:val="00074F00"/>
    <w:rsid w:val="00075AE5"/>
    <w:rsid w:val="000774BA"/>
    <w:rsid w:val="00080C4A"/>
    <w:rsid w:val="00082670"/>
    <w:rsid w:val="00082DAC"/>
    <w:rsid w:val="00085519"/>
    <w:rsid w:val="000858FC"/>
    <w:rsid w:val="00086948"/>
    <w:rsid w:val="00087F1E"/>
    <w:rsid w:val="00091A72"/>
    <w:rsid w:val="000966D7"/>
    <w:rsid w:val="000967F5"/>
    <w:rsid w:val="00097422"/>
    <w:rsid w:val="00097CB3"/>
    <w:rsid w:val="00097F8C"/>
    <w:rsid w:val="000A1218"/>
    <w:rsid w:val="000A1B48"/>
    <w:rsid w:val="000A2A33"/>
    <w:rsid w:val="000A3EA6"/>
    <w:rsid w:val="000A5485"/>
    <w:rsid w:val="000A59C1"/>
    <w:rsid w:val="000A6F66"/>
    <w:rsid w:val="000A74D8"/>
    <w:rsid w:val="000A7AA4"/>
    <w:rsid w:val="000B03DF"/>
    <w:rsid w:val="000B0557"/>
    <w:rsid w:val="000B0729"/>
    <w:rsid w:val="000B084A"/>
    <w:rsid w:val="000B0E3E"/>
    <w:rsid w:val="000B24EF"/>
    <w:rsid w:val="000B3377"/>
    <w:rsid w:val="000B4575"/>
    <w:rsid w:val="000B7B11"/>
    <w:rsid w:val="000C0FBF"/>
    <w:rsid w:val="000C29C2"/>
    <w:rsid w:val="000C5E51"/>
    <w:rsid w:val="000D2ACF"/>
    <w:rsid w:val="000D2D02"/>
    <w:rsid w:val="000D4EE2"/>
    <w:rsid w:val="000D6485"/>
    <w:rsid w:val="000E0AB1"/>
    <w:rsid w:val="000E0C95"/>
    <w:rsid w:val="000E19D2"/>
    <w:rsid w:val="000E2419"/>
    <w:rsid w:val="000E273F"/>
    <w:rsid w:val="000E3040"/>
    <w:rsid w:val="000E3913"/>
    <w:rsid w:val="000E4F41"/>
    <w:rsid w:val="000E5193"/>
    <w:rsid w:val="000E6324"/>
    <w:rsid w:val="000E652F"/>
    <w:rsid w:val="000E6740"/>
    <w:rsid w:val="000F13E6"/>
    <w:rsid w:val="000F155B"/>
    <w:rsid w:val="000F15BF"/>
    <w:rsid w:val="000F22E5"/>
    <w:rsid w:val="000F2942"/>
    <w:rsid w:val="000F38C9"/>
    <w:rsid w:val="000F503A"/>
    <w:rsid w:val="000F61D1"/>
    <w:rsid w:val="000F6481"/>
    <w:rsid w:val="00100CA8"/>
    <w:rsid w:val="00100FF9"/>
    <w:rsid w:val="0010282E"/>
    <w:rsid w:val="001040A7"/>
    <w:rsid w:val="00105741"/>
    <w:rsid w:val="00107181"/>
    <w:rsid w:val="00110A1A"/>
    <w:rsid w:val="0011194A"/>
    <w:rsid w:val="00112841"/>
    <w:rsid w:val="00112A6D"/>
    <w:rsid w:val="00112B86"/>
    <w:rsid w:val="00113952"/>
    <w:rsid w:val="00113AD6"/>
    <w:rsid w:val="00116ED1"/>
    <w:rsid w:val="00120B31"/>
    <w:rsid w:val="00122420"/>
    <w:rsid w:val="00122E7E"/>
    <w:rsid w:val="00122FB0"/>
    <w:rsid w:val="0012489E"/>
    <w:rsid w:val="0012586D"/>
    <w:rsid w:val="00126DAA"/>
    <w:rsid w:val="00134699"/>
    <w:rsid w:val="00142558"/>
    <w:rsid w:val="00143501"/>
    <w:rsid w:val="00144775"/>
    <w:rsid w:val="00146752"/>
    <w:rsid w:val="001468F4"/>
    <w:rsid w:val="00146A36"/>
    <w:rsid w:val="001472C3"/>
    <w:rsid w:val="001515D6"/>
    <w:rsid w:val="0015486C"/>
    <w:rsid w:val="001548CF"/>
    <w:rsid w:val="00154971"/>
    <w:rsid w:val="001549A3"/>
    <w:rsid w:val="0015511A"/>
    <w:rsid w:val="00157493"/>
    <w:rsid w:val="00160F2D"/>
    <w:rsid w:val="001627EE"/>
    <w:rsid w:val="001654D8"/>
    <w:rsid w:val="00166A85"/>
    <w:rsid w:val="001677EF"/>
    <w:rsid w:val="001703F7"/>
    <w:rsid w:val="001718FD"/>
    <w:rsid w:val="001731CE"/>
    <w:rsid w:val="001735C4"/>
    <w:rsid w:val="001748A4"/>
    <w:rsid w:val="0017680F"/>
    <w:rsid w:val="001768F4"/>
    <w:rsid w:val="00177090"/>
    <w:rsid w:val="0017784B"/>
    <w:rsid w:val="00180B6E"/>
    <w:rsid w:val="00181493"/>
    <w:rsid w:val="0018623E"/>
    <w:rsid w:val="00190057"/>
    <w:rsid w:val="0019076E"/>
    <w:rsid w:val="00190BF5"/>
    <w:rsid w:val="00192493"/>
    <w:rsid w:val="00192DC9"/>
    <w:rsid w:val="0019307C"/>
    <w:rsid w:val="00194661"/>
    <w:rsid w:val="001957B2"/>
    <w:rsid w:val="00196313"/>
    <w:rsid w:val="00196969"/>
    <w:rsid w:val="0019791E"/>
    <w:rsid w:val="001A0121"/>
    <w:rsid w:val="001A2800"/>
    <w:rsid w:val="001A359C"/>
    <w:rsid w:val="001A3922"/>
    <w:rsid w:val="001A5497"/>
    <w:rsid w:val="001A6DCD"/>
    <w:rsid w:val="001B26D7"/>
    <w:rsid w:val="001B47BF"/>
    <w:rsid w:val="001C0D99"/>
    <w:rsid w:val="001C2523"/>
    <w:rsid w:val="001C3E29"/>
    <w:rsid w:val="001C4D58"/>
    <w:rsid w:val="001C728A"/>
    <w:rsid w:val="001D11E6"/>
    <w:rsid w:val="001D1D0B"/>
    <w:rsid w:val="001D389D"/>
    <w:rsid w:val="001D5840"/>
    <w:rsid w:val="001E06F1"/>
    <w:rsid w:val="001E1D6C"/>
    <w:rsid w:val="001E2632"/>
    <w:rsid w:val="001E418F"/>
    <w:rsid w:val="001F02E6"/>
    <w:rsid w:val="001F11CC"/>
    <w:rsid w:val="001F397A"/>
    <w:rsid w:val="001F54BB"/>
    <w:rsid w:val="001F562E"/>
    <w:rsid w:val="001F75B4"/>
    <w:rsid w:val="001F7DB0"/>
    <w:rsid w:val="001F7F0B"/>
    <w:rsid w:val="00204287"/>
    <w:rsid w:val="00204F12"/>
    <w:rsid w:val="00210F72"/>
    <w:rsid w:val="00211364"/>
    <w:rsid w:val="00211CB2"/>
    <w:rsid w:val="00212DE6"/>
    <w:rsid w:val="002146BF"/>
    <w:rsid w:val="00216E50"/>
    <w:rsid w:val="002212CE"/>
    <w:rsid w:val="00223CEC"/>
    <w:rsid w:val="00224195"/>
    <w:rsid w:val="00224F63"/>
    <w:rsid w:val="00225878"/>
    <w:rsid w:val="00225A12"/>
    <w:rsid w:val="0022708D"/>
    <w:rsid w:val="00233FD9"/>
    <w:rsid w:val="002362F9"/>
    <w:rsid w:val="00237FCC"/>
    <w:rsid w:val="00240287"/>
    <w:rsid w:val="002405B7"/>
    <w:rsid w:val="00240E28"/>
    <w:rsid w:val="00241D43"/>
    <w:rsid w:val="00242A2A"/>
    <w:rsid w:val="00242AD2"/>
    <w:rsid w:val="0025029A"/>
    <w:rsid w:val="002525E1"/>
    <w:rsid w:val="00252A38"/>
    <w:rsid w:val="00252ECF"/>
    <w:rsid w:val="002538A6"/>
    <w:rsid w:val="00253EDD"/>
    <w:rsid w:val="00253FFD"/>
    <w:rsid w:val="002551D7"/>
    <w:rsid w:val="0025733C"/>
    <w:rsid w:val="00257A90"/>
    <w:rsid w:val="002626A2"/>
    <w:rsid w:val="0026410E"/>
    <w:rsid w:val="00264D0A"/>
    <w:rsid w:val="002656F1"/>
    <w:rsid w:val="00265744"/>
    <w:rsid w:val="00267B30"/>
    <w:rsid w:val="002743F3"/>
    <w:rsid w:val="002760D3"/>
    <w:rsid w:val="00276E2D"/>
    <w:rsid w:val="00277483"/>
    <w:rsid w:val="002826C1"/>
    <w:rsid w:val="002850CD"/>
    <w:rsid w:val="00285EFE"/>
    <w:rsid w:val="00286E68"/>
    <w:rsid w:val="00290021"/>
    <w:rsid w:val="0029094F"/>
    <w:rsid w:val="002935A3"/>
    <w:rsid w:val="00294F1A"/>
    <w:rsid w:val="00297F55"/>
    <w:rsid w:val="002A03C0"/>
    <w:rsid w:val="002A3448"/>
    <w:rsid w:val="002B045B"/>
    <w:rsid w:val="002B0735"/>
    <w:rsid w:val="002B19F8"/>
    <w:rsid w:val="002B1F62"/>
    <w:rsid w:val="002B2B84"/>
    <w:rsid w:val="002B4D26"/>
    <w:rsid w:val="002B6B1F"/>
    <w:rsid w:val="002B7103"/>
    <w:rsid w:val="002C2E85"/>
    <w:rsid w:val="002C44CF"/>
    <w:rsid w:val="002D1808"/>
    <w:rsid w:val="002D1C46"/>
    <w:rsid w:val="002D30EB"/>
    <w:rsid w:val="002D4D3F"/>
    <w:rsid w:val="002D56FC"/>
    <w:rsid w:val="002D6BB5"/>
    <w:rsid w:val="002D723B"/>
    <w:rsid w:val="002E44CB"/>
    <w:rsid w:val="002E55C9"/>
    <w:rsid w:val="002E6D41"/>
    <w:rsid w:val="002F05F9"/>
    <w:rsid w:val="002F13CA"/>
    <w:rsid w:val="002F24C1"/>
    <w:rsid w:val="002F30B3"/>
    <w:rsid w:val="002F3AD6"/>
    <w:rsid w:val="002F419E"/>
    <w:rsid w:val="002F6133"/>
    <w:rsid w:val="002F6142"/>
    <w:rsid w:val="0030226C"/>
    <w:rsid w:val="003045C5"/>
    <w:rsid w:val="00305FA7"/>
    <w:rsid w:val="00307FB0"/>
    <w:rsid w:val="0031069C"/>
    <w:rsid w:val="00311135"/>
    <w:rsid w:val="00311D97"/>
    <w:rsid w:val="00313758"/>
    <w:rsid w:val="0031712A"/>
    <w:rsid w:val="00317594"/>
    <w:rsid w:val="00320894"/>
    <w:rsid w:val="003217EF"/>
    <w:rsid w:val="00322AB7"/>
    <w:rsid w:val="00325FAE"/>
    <w:rsid w:val="00326CBA"/>
    <w:rsid w:val="0033007B"/>
    <w:rsid w:val="003301B8"/>
    <w:rsid w:val="00330DB4"/>
    <w:rsid w:val="00331EF5"/>
    <w:rsid w:val="00333048"/>
    <w:rsid w:val="003353F5"/>
    <w:rsid w:val="00340D69"/>
    <w:rsid w:val="003429CB"/>
    <w:rsid w:val="00343D27"/>
    <w:rsid w:val="00344A35"/>
    <w:rsid w:val="00346BFA"/>
    <w:rsid w:val="00350FFB"/>
    <w:rsid w:val="00353311"/>
    <w:rsid w:val="003539AD"/>
    <w:rsid w:val="0035737F"/>
    <w:rsid w:val="00357687"/>
    <w:rsid w:val="00360338"/>
    <w:rsid w:val="003610DD"/>
    <w:rsid w:val="003625B0"/>
    <w:rsid w:val="003650B9"/>
    <w:rsid w:val="0036653D"/>
    <w:rsid w:val="003708C7"/>
    <w:rsid w:val="00372FE6"/>
    <w:rsid w:val="00373486"/>
    <w:rsid w:val="00373C8D"/>
    <w:rsid w:val="00375840"/>
    <w:rsid w:val="00375EC4"/>
    <w:rsid w:val="0038162D"/>
    <w:rsid w:val="0038401A"/>
    <w:rsid w:val="00385177"/>
    <w:rsid w:val="00386743"/>
    <w:rsid w:val="00390623"/>
    <w:rsid w:val="0039124C"/>
    <w:rsid w:val="0039201D"/>
    <w:rsid w:val="0039390B"/>
    <w:rsid w:val="00393D53"/>
    <w:rsid w:val="003941FF"/>
    <w:rsid w:val="003944C0"/>
    <w:rsid w:val="003956FD"/>
    <w:rsid w:val="00397091"/>
    <w:rsid w:val="003A080A"/>
    <w:rsid w:val="003A1E69"/>
    <w:rsid w:val="003A1FA1"/>
    <w:rsid w:val="003A6D67"/>
    <w:rsid w:val="003B0DD9"/>
    <w:rsid w:val="003B1896"/>
    <w:rsid w:val="003B32AC"/>
    <w:rsid w:val="003B4852"/>
    <w:rsid w:val="003B497B"/>
    <w:rsid w:val="003B51B4"/>
    <w:rsid w:val="003B682F"/>
    <w:rsid w:val="003B7157"/>
    <w:rsid w:val="003C0A4B"/>
    <w:rsid w:val="003C0E75"/>
    <w:rsid w:val="003C142D"/>
    <w:rsid w:val="003C3EA4"/>
    <w:rsid w:val="003C4463"/>
    <w:rsid w:val="003C4C7D"/>
    <w:rsid w:val="003D28BA"/>
    <w:rsid w:val="003D3E9C"/>
    <w:rsid w:val="003D4069"/>
    <w:rsid w:val="003D4E61"/>
    <w:rsid w:val="003D5012"/>
    <w:rsid w:val="003D714F"/>
    <w:rsid w:val="003D7879"/>
    <w:rsid w:val="003E2566"/>
    <w:rsid w:val="003E303E"/>
    <w:rsid w:val="003E353A"/>
    <w:rsid w:val="003E6854"/>
    <w:rsid w:val="003F2312"/>
    <w:rsid w:val="003F25BC"/>
    <w:rsid w:val="003F2B86"/>
    <w:rsid w:val="003F2F17"/>
    <w:rsid w:val="003F3969"/>
    <w:rsid w:val="003F650D"/>
    <w:rsid w:val="003F6EA8"/>
    <w:rsid w:val="0040163C"/>
    <w:rsid w:val="00402C92"/>
    <w:rsid w:val="0040305C"/>
    <w:rsid w:val="00404D90"/>
    <w:rsid w:val="0041165A"/>
    <w:rsid w:val="00412663"/>
    <w:rsid w:val="0041436A"/>
    <w:rsid w:val="00414E0E"/>
    <w:rsid w:val="00415A02"/>
    <w:rsid w:val="00422DE0"/>
    <w:rsid w:val="00424499"/>
    <w:rsid w:val="004254E8"/>
    <w:rsid w:val="00425E9D"/>
    <w:rsid w:val="004266C0"/>
    <w:rsid w:val="00430243"/>
    <w:rsid w:val="004343FE"/>
    <w:rsid w:val="00434856"/>
    <w:rsid w:val="00437CDD"/>
    <w:rsid w:val="0044139C"/>
    <w:rsid w:val="004414A4"/>
    <w:rsid w:val="004426D8"/>
    <w:rsid w:val="00442D9D"/>
    <w:rsid w:val="00443977"/>
    <w:rsid w:val="00450EFF"/>
    <w:rsid w:val="004544E7"/>
    <w:rsid w:val="00454CB9"/>
    <w:rsid w:val="0045508D"/>
    <w:rsid w:val="00455BD0"/>
    <w:rsid w:val="00457DC5"/>
    <w:rsid w:val="00457DF0"/>
    <w:rsid w:val="004613FE"/>
    <w:rsid w:val="00461A62"/>
    <w:rsid w:val="004644EA"/>
    <w:rsid w:val="00465F08"/>
    <w:rsid w:val="00466B42"/>
    <w:rsid w:val="00467332"/>
    <w:rsid w:val="00472767"/>
    <w:rsid w:val="004729C3"/>
    <w:rsid w:val="00472A89"/>
    <w:rsid w:val="004737B2"/>
    <w:rsid w:val="004743D6"/>
    <w:rsid w:val="00474FAB"/>
    <w:rsid w:val="0047582C"/>
    <w:rsid w:val="00475834"/>
    <w:rsid w:val="004823E3"/>
    <w:rsid w:val="00482C63"/>
    <w:rsid w:val="004835BE"/>
    <w:rsid w:val="00483800"/>
    <w:rsid w:val="0048479E"/>
    <w:rsid w:val="00487687"/>
    <w:rsid w:val="004913E5"/>
    <w:rsid w:val="00492EAE"/>
    <w:rsid w:val="00493672"/>
    <w:rsid w:val="00494A9E"/>
    <w:rsid w:val="00496CBF"/>
    <w:rsid w:val="004A1C53"/>
    <w:rsid w:val="004A256D"/>
    <w:rsid w:val="004A4A7D"/>
    <w:rsid w:val="004A4C51"/>
    <w:rsid w:val="004A6B93"/>
    <w:rsid w:val="004A74D1"/>
    <w:rsid w:val="004B10B4"/>
    <w:rsid w:val="004B1DBA"/>
    <w:rsid w:val="004B75D1"/>
    <w:rsid w:val="004C6606"/>
    <w:rsid w:val="004C7BD0"/>
    <w:rsid w:val="004D0A90"/>
    <w:rsid w:val="004D5C08"/>
    <w:rsid w:val="004E2782"/>
    <w:rsid w:val="004E3CF6"/>
    <w:rsid w:val="004E504E"/>
    <w:rsid w:val="004E6C6F"/>
    <w:rsid w:val="004F22A3"/>
    <w:rsid w:val="004F2EDF"/>
    <w:rsid w:val="004F5CC4"/>
    <w:rsid w:val="004F6245"/>
    <w:rsid w:val="004F66F3"/>
    <w:rsid w:val="004F6AE8"/>
    <w:rsid w:val="004F72F3"/>
    <w:rsid w:val="004F785B"/>
    <w:rsid w:val="005031D7"/>
    <w:rsid w:val="00503CCD"/>
    <w:rsid w:val="00504F1B"/>
    <w:rsid w:val="0051040E"/>
    <w:rsid w:val="00510CAA"/>
    <w:rsid w:val="00510FD7"/>
    <w:rsid w:val="005113E3"/>
    <w:rsid w:val="00511BDC"/>
    <w:rsid w:val="005120F8"/>
    <w:rsid w:val="00514961"/>
    <w:rsid w:val="005150D6"/>
    <w:rsid w:val="00522453"/>
    <w:rsid w:val="005237FC"/>
    <w:rsid w:val="0052489A"/>
    <w:rsid w:val="0053132D"/>
    <w:rsid w:val="00534A1F"/>
    <w:rsid w:val="00535E3B"/>
    <w:rsid w:val="0054103E"/>
    <w:rsid w:val="0054234D"/>
    <w:rsid w:val="00544AFC"/>
    <w:rsid w:val="00546571"/>
    <w:rsid w:val="005521F8"/>
    <w:rsid w:val="005533AB"/>
    <w:rsid w:val="00556845"/>
    <w:rsid w:val="005572E7"/>
    <w:rsid w:val="005577B1"/>
    <w:rsid w:val="0055781A"/>
    <w:rsid w:val="0056135B"/>
    <w:rsid w:val="00563C9A"/>
    <w:rsid w:val="00563DD6"/>
    <w:rsid w:val="00563EDC"/>
    <w:rsid w:val="00566763"/>
    <w:rsid w:val="00567B6F"/>
    <w:rsid w:val="00567E6C"/>
    <w:rsid w:val="00572A61"/>
    <w:rsid w:val="00572BDA"/>
    <w:rsid w:val="00573AE2"/>
    <w:rsid w:val="00574D8B"/>
    <w:rsid w:val="00575B47"/>
    <w:rsid w:val="00576B09"/>
    <w:rsid w:val="00577B26"/>
    <w:rsid w:val="005801B8"/>
    <w:rsid w:val="00581B20"/>
    <w:rsid w:val="00581E00"/>
    <w:rsid w:val="005825BE"/>
    <w:rsid w:val="00584CCD"/>
    <w:rsid w:val="00590E25"/>
    <w:rsid w:val="0059214C"/>
    <w:rsid w:val="00597E18"/>
    <w:rsid w:val="005A00C3"/>
    <w:rsid w:val="005A3766"/>
    <w:rsid w:val="005A5B4A"/>
    <w:rsid w:val="005A75CF"/>
    <w:rsid w:val="005B08F6"/>
    <w:rsid w:val="005B1029"/>
    <w:rsid w:val="005B1169"/>
    <w:rsid w:val="005B367E"/>
    <w:rsid w:val="005B4003"/>
    <w:rsid w:val="005B41A2"/>
    <w:rsid w:val="005C1A5B"/>
    <w:rsid w:val="005C40E6"/>
    <w:rsid w:val="005C719A"/>
    <w:rsid w:val="005C7B4B"/>
    <w:rsid w:val="005D132B"/>
    <w:rsid w:val="005D22BD"/>
    <w:rsid w:val="005D2602"/>
    <w:rsid w:val="005D4A4C"/>
    <w:rsid w:val="005D6293"/>
    <w:rsid w:val="005E0830"/>
    <w:rsid w:val="005E0E98"/>
    <w:rsid w:val="005E2DF0"/>
    <w:rsid w:val="005E5BD9"/>
    <w:rsid w:val="005E5DA9"/>
    <w:rsid w:val="005E65DC"/>
    <w:rsid w:val="005E68C6"/>
    <w:rsid w:val="005E799A"/>
    <w:rsid w:val="005E7B9B"/>
    <w:rsid w:val="005E7E85"/>
    <w:rsid w:val="005F1468"/>
    <w:rsid w:val="005F28FB"/>
    <w:rsid w:val="005F2A1A"/>
    <w:rsid w:val="005F6AFB"/>
    <w:rsid w:val="00600BD5"/>
    <w:rsid w:val="00601BD2"/>
    <w:rsid w:val="00603A6C"/>
    <w:rsid w:val="0060410E"/>
    <w:rsid w:val="0060499F"/>
    <w:rsid w:val="00605FB5"/>
    <w:rsid w:val="00606184"/>
    <w:rsid w:val="006078CB"/>
    <w:rsid w:val="00611372"/>
    <w:rsid w:val="00611899"/>
    <w:rsid w:val="00611BBD"/>
    <w:rsid w:val="00613D8B"/>
    <w:rsid w:val="00616AFB"/>
    <w:rsid w:val="00622356"/>
    <w:rsid w:val="006225B6"/>
    <w:rsid w:val="0062321E"/>
    <w:rsid w:val="006232E5"/>
    <w:rsid w:val="00623592"/>
    <w:rsid w:val="00624DF5"/>
    <w:rsid w:val="006251FD"/>
    <w:rsid w:val="00626CC5"/>
    <w:rsid w:val="0063049A"/>
    <w:rsid w:val="006311D4"/>
    <w:rsid w:val="006364E4"/>
    <w:rsid w:val="00636743"/>
    <w:rsid w:val="00637D21"/>
    <w:rsid w:val="006401BE"/>
    <w:rsid w:val="0064073F"/>
    <w:rsid w:val="0064083E"/>
    <w:rsid w:val="00642EAB"/>
    <w:rsid w:val="00652F8E"/>
    <w:rsid w:val="00652F9F"/>
    <w:rsid w:val="006545A3"/>
    <w:rsid w:val="00654882"/>
    <w:rsid w:val="0065728C"/>
    <w:rsid w:val="006609D6"/>
    <w:rsid w:val="00663023"/>
    <w:rsid w:val="00665566"/>
    <w:rsid w:val="006663F3"/>
    <w:rsid w:val="006676AE"/>
    <w:rsid w:val="0067614F"/>
    <w:rsid w:val="00680926"/>
    <w:rsid w:val="00681CC7"/>
    <w:rsid w:val="00685313"/>
    <w:rsid w:val="0068607C"/>
    <w:rsid w:val="00686B55"/>
    <w:rsid w:val="006878C8"/>
    <w:rsid w:val="00690529"/>
    <w:rsid w:val="00691826"/>
    <w:rsid w:val="00692AA4"/>
    <w:rsid w:val="00694FF8"/>
    <w:rsid w:val="0069656F"/>
    <w:rsid w:val="00697830"/>
    <w:rsid w:val="006A49D1"/>
    <w:rsid w:val="006A7ADC"/>
    <w:rsid w:val="006B0ECC"/>
    <w:rsid w:val="006B1403"/>
    <w:rsid w:val="006B1A43"/>
    <w:rsid w:val="006B258E"/>
    <w:rsid w:val="006B3B39"/>
    <w:rsid w:val="006B440C"/>
    <w:rsid w:val="006B71C1"/>
    <w:rsid w:val="006B7E02"/>
    <w:rsid w:val="006C00F1"/>
    <w:rsid w:val="006C2B5C"/>
    <w:rsid w:val="006C3CE4"/>
    <w:rsid w:val="006C4616"/>
    <w:rsid w:val="006C656F"/>
    <w:rsid w:val="006C6BF1"/>
    <w:rsid w:val="006D1240"/>
    <w:rsid w:val="006D1EC5"/>
    <w:rsid w:val="006D2455"/>
    <w:rsid w:val="006D3541"/>
    <w:rsid w:val="006D36F6"/>
    <w:rsid w:val="006D410D"/>
    <w:rsid w:val="006D4997"/>
    <w:rsid w:val="006D6D35"/>
    <w:rsid w:val="006D7413"/>
    <w:rsid w:val="006E3B2F"/>
    <w:rsid w:val="006F088C"/>
    <w:rsid w:val="006F0CD7"/>
    <w:rsid w:val="006F38BF"/>
    <w:rsid w:val="006F7A34"/>
    <w:rsid w:val="00702398"/>
    <w:rsid w:val="00703205"/>
    <w:rsid w:val="00703680"/>
    <w:rsid w:val="00704422"/>
    <w:rsid w:val="00704C22"/>
    <w:rsid w:val="00704C9B"/>
    <w:rsid w:val="00705266"/>
    <w:rsid w:val="00707C74"/>
    <w:rsid w:val="00713A80"/>
    <w:rsid w:val="00715145"/>
    <w:rsid w:val="00724713"/>
    <w:rsid w:val="00724B05"/>
    <w:rsid w:val="00725A1E"/>
    <w:rsid w:val="00725EA6"/>
    <w:rsid w:val="00727CB3"/>
    <w:rsid w:val="00734168"/>
    <w:rsid w:val="0073677E"/>
    <w:rsid w:val="0074087E"/>
    <w:rsid w:val="00742051"/>
    <w:rsid w:val="00742366"/>
    <w:rsid w:val="007423D8"/>
    <w:rsid w:val="007447BE"/>
    <w:rsid w:val="00745C84"/>
    <w:rsid w:val="00751A84"/>
    <w:rsid w:val="007538E7"/>
    <w:rsid w:val="00753CF4"/>
    <w:rsid w:val="00755678"/>
    <w:rsid w:val="00756DF4"/>
    <w:rsid w:val="00757F22"/>
    <w:rsid w:val="00760A97"/>
    <w:rsid w:val="007620DD"/>
    <w:rsid w:val="00763079"/>
    <w:rsid w:val="0076497B"/>
    <w:rsid w:val="0076593F"/>
    <w:rsid w:val="0076683F"/>
    <w:rsid w:val="00766A0C"/>
    <w:rsid w:val="00767334"/>
    <w:rsid w:val="00772C79"/>
    <w:rsid w:val="00773A7B"/>
    <w:rsid w:val="00774BD0"/>
    <w:rsid w:val="00774E74"/>
    <w:rsid w:val="00777C9D"/>
    <w:rsid w:val="00781892"/>
    <w:rsid w:val="0078267C"/>
    <w:rsid w:val="007836E2"/>
    <w:rsid w:val="00785A93"/>
    <w:rsid w:val="00786AB9"/>
    <w:rsid w:val="00791658"/>
    <w:rsid w:val="0079168D"/>
    <w:rsid w:val="00791A43"/>
    <w:rsid w:val="00793E3A"/>
    <w:rsid w:val="0079517A"/>
    <w:rsid w:val="00795FEC"/>
    <w:rsid w:val="00796525"/>
    <w:rsid w:val="007970B0"/>
    <w:rsid w:val="00797967"/>
    <w:rsid w:val="007A061B"/>
    <w:rsid w:val="007A1B72"/>
    <w:rsid w:val="007A2D5F"/>
    <w:rsid w:val="007B00B1"/>
    <w:rsid w:val="007B0F12"/>
    <w:rsid w:val="007B104D"/>
    <w:rsid w:val="007B22D1"/>
    <w:rsid w:val="007B2B7D"/>
    <w:rsid w:val="007B6840"/>
    <w:rsid w:val="007B6E2F"/>
    <w:rsid w:val="007B7AB1"/>
    <w:rsid w:val="007C2963"/>
    <w:rsid w:val="007C2CD6"/>
    <w:rsid w:val="007D23FB"/>
    <w:rsid w:val="007D4F67"/>
    <w:rsid w:val="007D7CE1"/>
    <w:rsid w:val="007E2F82"/>
    <w:rsid w:val="007E4D31"/>
    <w:rsid w:val="007E5E1E"/>
    <w:rsid w:val="007E75B7"/>
    <w:rsid w:val="007F27D5"/>
    <w:rsid w:val="007F605B"/>
    <w:rsid w:val="00800BF1"/>
    <w:rsid w:val="00801310"/>
    <w:rsid w:val="00802B29"/>
    <w:rsid w:val="008036B2"/>
    <w:rsid w:val="00805CC8"/>
    <w:rsid w:val="00810929"/>
    <w:rsid w:val="008119A5"/>
    <w:rsid w:val="00811FD8"/>
    <w:rsid w:val="00814AC2"/>
    <w:rsid w:val="00815713"/>
    <w:rsid w:val="0081755E"/>
    <w:rsid w:val="00820554"/>
    <w:rsid w:val="00820704"/>
    <w:rsid w:val="0082095E"/>
    <w:rsid w:val="008219CE"/>
    <w:rsid w:val="008267C3"/>
    <w:rsid w:val="00827A85"/>
    <w:rsid w:val="00830FC6"/>
    <w:rsid w:val="00831521"/>
    <w:rsid w:val="00831B01"/>
    <w:rsid w:val="00833173"/>
    <w:rsid w:val="00837FAF"/>
    <w:rsid w:val="008464F5"/>
    <w:rsid w:val="0085595D"/>
    <w:rsid w:val="00855C6D"/>
    <w:rsid w:val="008577F3"/>
    <w:rsid w:val="00860EE0"/>
    <w:rsid w:val="00861052"/>
    <w:rsid w:val="00862049"/>
    <w:rsid w:val="008648D6"/>
    <w:rsid w:val="00866ADD"/>
    <w:rsid w:val="00871274"/>
    <w:rsid w:val="00872544"/>
    <w:rsid w:val="00872C4F"/>
    <w:rsid w:val="0087355C"/>
    <w:rsid w:val="008736BD"/>
    <w:rsid w:val="00875741"/>
    <w:rsid w:val="00877359"/>
    <w:rsid w:val="00880C32"/>
    <w:rsid w:val="00882AB6"/>
    <w:rsid w:val="00883130"/>
    <w:rsid w:val="0088360B"/>
    <w:rsid w:val="0088561C"/>
    <w:rsid w:val="008857BD"/>
    <w:rsid w:val="008859F9"/>
    <w:rsid w:val="00887F75"/>
    <w:rsid w:val="00891727"/>
    <w:rsid w:val="00893578"/>
    <w:rsid w:val="00895BE8"/>
    <w:rsid w:val="008A1350"/>
    <w:rsid w:val="008A2B0E"/>
    <w:rsid w:val="008A2C7D"/>
    <w:rsid w:val="008A2E10"/>
    <w:rsid w:val="008A5A69"/>
    <w:rsid w:val="008A7E37"/>
    <w:rsid w:val="008B10CF"/>
    <w:rsid w:val="008B6287"/>
    <w:rsid w:val="008B67C9"/>
    <w:rsid w:val="008B713D"/>
    <w:rsid w:val="008C0E71"/>
    <w:rsid w:val="008C1E32"/>
    <w:rsid w:val="008C3A54"/>
    <w:rsid w:val="008C52A4"/>
    <w:rsid w:val="008D1C54"/>
    <w:rsid w:val="008D3111"/>
    <w:rsid w:val="008D5121"/>
    <w:rsid w:val="008D5EE5"/>
    <w:rsid w:val="008E04AF"/>
    <w:rsid w:val="008E0B99"/>
    <w:rsid w:val="008E43D6"/>
    <w:rsid w:val="008E4638"/>
    <w:rsid w:val="008E4E8E"/>
    <w:rsid w:val="008E57DD"/>
    <w:rsid w:val="008E59D8"/>
    <w:rsid w:val="008F2C87"/>
    <w:rsid w:val="008F482A"/>
    <w:rsid w:val="008F754F"/>
    <w:rsid w:val="009012A4"/>
    <w:rsid w:val="009021ED"/>
    <w:rsid w:val="0090440B"/>
    <w:rsid w:val="009054E0"/>
    <w:rsid w:val="00906224"/>
    <w:rsid w:val="00906A71"/>
    <w:rsid w:val="00914148"/>
    <w:rsid w:val="00914919"/>
    <w:rsid w:val="00916F41"/>
    <w:rsid w:val="0092061E"/>
    <w:rsid w:val="009212AE"/>
    <w:rsid w:val="00921D93"/>
    <w:rsid w:val="00922B72"/>
    <w:rsid w:val="00922C10"/>
    <w:rsid w:val="00932077"/>
    <w:rsid w:val="00933082"/>
    <w:rsid w:val="00934A60"/>
    <w:rsid w:val="0093691B"/>
    <w:rsid w:val="00937688"/>
    <w:rsid w:val="00941116"/>
    <w:rsid w:val="00942ED2"/>
    <w:rsid w:val="00944D6E"/>
    <w:rsid w:val="0094603A"/>
    <w:rsid w:val="00951EEE"/>
    <w:rsid w:val="00953718"/>
    <w:rsid w:val="00954505"/>
    <w:rsid w:val="009547DD"/>
    <w:rsid w:val="0095517B"/>
    <w:rsid w:val="00956458"/>
    <w:rsid w:val="00956D84"/>
    <w:rsid w:val="009614D3"/>
    <w:rsid w:val="00965E2C"/>
    <w:rsid w:val="009660D9"/>
    <w:rsid w:val="009669CF"/>
    <w:rsid w:val="0097132D"/>
    <w:rsid w:val="009756FA"/>
    <w:rsid w:val="009766F1"/>
    <w:rsid w:val="0097673C"/>
    <w:rsid w:val="0098263A"/>
    <w:rsid w:val="00983B08"/>
    <w:rsid w:val="0098599E"/>
    <w:rsid w:val="0099015E"/>
    <w:rsid w:val="00990394"/>
    <w:rsid w:val="00992F51"/>
    <w:rsid w:val="00993CE5"/>
    <w:rsid w:val="009A0DC4"/>
    <w:rsid w:val="009A1522"/>
    <w:rsid w:val="009A1974"/>
    <w:rsid w:val="009A2306"/>
    <w:rsid w:val="009A3183"/>
    <w:rsid w:val="009A5842"/>
    <w:rsid w:val="009A5C51"/>
    <w:rsid w:val="009A6F82"/>
    <w:rsid w:val="009B0745"/>
    <w:rsid w:val="009B0B14"/>
    <w:rsid w:val="009B1F06"/>
    <w:rsid w:val="009B5B17"/>
    <w:rsid w:val="009C1999"/>
    <w:rsid w:val="009C3185"/>
    <w:rsid w:val="009C39D8"/>
    <w:rsid w:val="009C5B25"/>
    <w:rsid w:val="009C7224"/>
    <w:rsid w:val="009C73B6"/>
    <w:rsid w:val="009D09B7"/>
    <w:rsid w:val="009D2AE7"/>
    <w:rsid w:val="009D322E"/>
    <w:rsid w:val="009D6046"/>
    <w:rsid w:val="009D6406"/>
    <w:rsid w:val="009D67ED"/>
    <w:rsid w:val="009E1348"/>
    <w:rsid w:val="009E3052"/>
    <w:rsid w:val="009E349F"/>
    <w:rsid w:val="009E48CC"/>
    <w:rsid w:val="009E4A78"/>
    <w:rsid w:val="009E5DD9"/>
    <w:rsid w:val="009F0010"/>
    <w:rsid w:val="009F04B1"/>
    <w:rsid w:val="009F15E0"/>
    <w:rsid w:val="009F2432"/>
    <w:rsid w:val="009F27AF"/>
    <w:rsid w:val="009F598B"/>
    <w:rsid w:val="009F5A43"/>
    <w:rsid w:val="009F7521"/>
    <w:rsid w:val="00A0170C"/>
    <w:rsid w:val="00A10B3D"/>
    <w:rsid w:val="00A1183E"/>
    <w:rsid w:val="00A128EA"/>
    <w:rsid w:val="00A1666E"/>
    <w:rsid w:val="00A16E44"/>
    <w:rsid w:val="00A1731D"/>
    <w:rsid w:val="00A17522"/>
    <w:rsid w:val="00A20057"/>
    <w:rsid w:val="00A205EE"/>
    <w:rsid w:val="00A217BC"/>
    <w:rsid w:val="00A233DF"/>
    <w:rsid w:val="00A240AA"/>
    <w:rsid w:val="00A26608"/>
    <w:rsid w:val="00A26D1D"/>
    <w:rsid w:val="00A329F4"/>
    <w:rsid w:val="00A36023"/>
    <w:rsid w:val="00A375B2"/>
    <w:rsid w:val="00A40464"/>
    <w:rsid w:val="00A40732"/>
    <w:rsid w:val="00A440E5"/>
    <w:rsid w:val="00A46F23"/>
    <w:rsid w:val="00A46FCC"/>
    <w:rsid w:val="00A47F27"/>
    <w:rsid w:val="00A519F1"/>
    <w:rsid w:val="00A52342"/>
    <w:rsid w:val="00A556AF"/>
    <w:rsid w:val="00A56118"/>
    <w:rsid w:val="00A57551"/>
    <w:rsid w:val="00A57BE7"/>
    <w:rsid w:val="00A60A98"/>
    <w:rsid w:val="00A615A4"/>
    <w:rsid w:val="00A62AC9"/>
    <w:rsid w:val="00A62E24"/>
    <w:rsid w:val="00A6303C"/>
    <w:rsid w:val="00A71FC2"/>
    <w:rsid w:val="00A726BE"/>
    <w:rsid w:val="00A733D0"/>
    <w:rsid w:val="00A73702"/>
    <w:rsid w:val="00A73C85"/>
    <w:rsid w:val="00A74872"/>
    <w:rsid w:val="00A776F0"/>
    <w:rsid w:val="00A82BA3"/>
    <w:rsid w:val="00A83F15"/>
    <w:rsid w:val="00A83F20"/>
    <w:rsid w:val="00A841E1"/>
    <w:rsid w:val="00A850F4"/>
    <w:rsid w:val="00A8670F"/>
    <w:rsid w:val="00A9220D"/>
    <w:rsid w:val="00A92E2D"/>
    <w:rsid w:val="00A9479C"/>
    <w:rsid w:val="00A9516E"/>
    <w:rsid w:val="00A961DD"/>
    <w:rsid w:val="00A97B20"/>
    <w:rsid w:val="00AA02A1"/>
    <w:rsid w:val="00AA28F8"/>
    <w:rsid w:val="00AA2D3E"/>
    <w:rsid w:val="00AA3139"/>
    <w:rsid w:val="00AA60AD"/>
    <w:rsid w:val="00AB0636"/>
    <w:rsid w:val="00AB53BB"/>
    <w:rsid w:val="00AB76FE"/>
    <w:rsid w:val="00AC343C"/>
    <w:rsid w:val="00AC4553"/>
    <w:rsid w:val="00AC4DFD"/>
    <w:rsid w:val="00AC5E96"/>
    <w:rsid w:val="00AC6CC5"/>
    <w:rsid w:val="00AD0C08"/>
    <w:rsid w:val="00AD1066"/>
    <w:rsid w:val="00AD1495"/>
    <w:rsid w:val="00AD1642"/>
    <w:rsid w:val="00AD26C3"/>
    <w:rsid w:val="00AD542A"/>
    <w:rsid w:val="00AD5CB0"/>
    <w:rsid w:val="00AE0226"/>
    <w:rsid w:val="00AE1040"/>
    <w:rsid w:val="00AE14AF"/>
    <w:rsid w:val="00AE2034"/>
    <w:rsid w:val="00AE293B"/>
    <w:rsid w:val="00AE3411"/>
    <w:rsid w:val="00AE489F"/>
    <w:rsid w:val="00AE5649"/>
    <w:rsid w:val="00AF0359"/>
    <w:rsid w:val="00AF037B"/>
    <w:rsid w:val="00AF09C2"/>
    <w:rsid w:val="00AF4904"/>
    <w:rsid w:val="00AF553E"/>
    <w:rsid w:val="00AF5637"/>
    <w:rsid w:val="00AF6D46"/>
    <w:rsid w:val="00AF6FDF"/>
    <w:rsid w:val="00B00CE7"/>
    <w:rsid w:val="00B02D44"/>
    <w:rsid w:val="00B032E1"/>
    <w:rsid w:val="00B03711"/>
    <w:rsid w:val="00B03960"/>
    <w:rsid w:val="00B03E5C"/>
    <w:rsid w:val="00B04DF9"/>
    <w:rsid w:val="00B072E7"/>
    <w:rsid w:val="00B11B00"/>
    <w:rsid w:val="00B11F1B"/>
    <w:rsid w:val="00B1312D"/>
    <w:rsid w:val="00B137E6"/>
    <w:rsid w:val="00B15512"/>
    <w:rsid w:val="00B15872"/>
    <w:rsid w:val="00B2156A"/>
    <w:rsid w:val="00B218BA"/>
    <w:rsid w:val="00B24182"/>
    <w:rsid w:val="00B261D6"/>
    <w:rsid w:val="00B3022A"/>
    <w:rsid w:val="00B32410"/>
    <w:rsid w:val="00B338E5"/>
    <w:rsid w:val="00B34937"/>
    <w:rsid w:val="00B36799"/>
    <w:rsid w:val="00B3680C"/>
    <w:rsid w:val="00B37228"/>
    <w:rsid w:val="00B44450"/>
    <w:rsid w:val="00B45A37"/>
    <w:rsid w:val="00B4650A"/>
    <w:rsid w:val="00B46511"/>
    <w:rsid w:val="00B46CFE"/>
    <w:rsid w:val="00B479D3"/>
    <w:rsid w:val="00B535F7"/>
    <w:rsid w:val="00B54DCE"/>
    <w:rsid w:val="00B55763"/>
    <w:rsid w:val="00B56611"/>
    <w:rsid w:val="00B579A0"/>
    <w:rsid w:val="00B62F3C"/>
    <w:rsid w:val="00B65B65"/>
    <w:rsid w:val="00B70D86"/>
    <w:rsid w:val="00B75084"/>
    <w:rsid w:val="00B75666"/>
    <w:rsid w:val="00B7599D"/>
    <w:rsid w:val="00B80200"/>
    <w:rsid w:val="00B814C2"/>
    <w:rsid w:val="00B8154F"/>
    <w:rsid w:val="00B821CE"/>
    <w:rsid w:val="00B831AA"/>
    <w:rsid w:val="00B8325C"/>
    <w:rsid w:val="00B861C5"/>
    <w:rsid w:val="00B861E0"/>
    <w:rsid w:val="00B86CF1"/>
    <w:rsid w:val="00B908FF"/>
    <w:rsid w:val="00B92421"/>
    <w:rsid w:val="00B940A0"/>
    <w:rsid w:val="00B95F3F"/>
    <w:rsid w:val="00B96D02"/>
    <w:rsid w:val="00BA0E4B"/>
    <w:rsid w:val="00BA1C5F"/>
    <w:rsid w:val="00BA33AC"/>
    <w:rsid w:val="00BA34D7"/>
    <w:rsid w:val="00BA4B77"/>
    <w:rsid w:val="00BA4D1B"/>
    <w:rsid w:val="00BA52F9"/>
    <w:rsid w:val="00BA6CAE"/>
    <w:rsid w:val="00BA72AF"/>
    <w:rsid w:val="00BA77A6"/>
    <w:rsid w:val="00BA7F6F"/>
    <w:rsid w:val="00BB0236"/>
    <w:rsid w:val="00BB0EC2"/>
    <w:rsid w:val="00BB2030"/>
    <w:rsid w:val="00BB2254"/>
    <w:rsid w:val="00BB2F2D"/>
    <w:rsid w:val="00BB3021"/>
    <w:rsid w:val="00BB6451"/>
    <w:rsid w:val="00BB7EF0"/>
    <w:rsid w:val="00BC03D8"/>
    <w:rsid w:val="00BC1D3A"/>
    <w:rsid w:val="00BC23F9"/>
    <w:rsid w:val="00BC4E15"/>
    <w:rsid w:val="00BC6C6A"/>
    <w:rsid w:val="00BD0C7D"/>
    <w:rsid w:val="00BD15A6"/>
    <w:rsid w:val="00BD1EBD"/>
    <w:rsid w:val="00BD3CEE"/>
    <w:rsid w:val="00BD418B"/>
    <w:rsid w:val="00BD44C8"/>
    <w:rsid w:val="00BD6134"/>
    <w:rsid w:val="00BD79C3"/>
    <w:rsid w:val="00BE09EB"/>
    <w:rsid w:val="00BE2752"/>
    <w:rsid w:val="00BE2E6E"/>
    <w:rsid w:val="00BE3D02"/>
    <w:rsid w:val="00BE49E6"/>
    <w:rsid w:val="00BE6338"/>
    <w:rsid w:val="00BE6904"/>
    <w:rsid w:val="00BE7CCD"/>
    <w:rsid w:val="00BF25C6"/>
    <w:rsid w:val="00BF2E00"/>
    <w:rsid w:val="00BF340E"/>
    <w:rsid w:val="00BF40C3"/>
    <w:rsid w:val="00BF4554"/>
    <w:rsid w:val="00BF5CDB"/>
    <w:rsid w:val="00BF6B84"/>
    <w:rsid w:val="00C035F9"/>
    <w:rsid w:val="00C051AB"/>
    <w:rsid w:val="00C06337"/>
    <w:rsid w:val="00C075CB"/>
    <w:rsid w:val="00C1154E"/>
    <w:rsid w:val="00C12DCA"/>
    <w:rsid w:val="00C134C2"/>
    <w:rsid w:val="00C13853"/>
    <w:rsid w:val="00C13F31"/>
    <w:rsid w:val="00C15FB3"/>
    <w:rsid w:val="00C168E9"/>
    <w:rsid w:val="00C205D6"/>
    <w:rsid w:val="00C20F9A"/>
    <w:rsid w:val="00C23AF4"/>
    <w:rsid w:val="00C23E00"/>
    <w:rsid w:val="00C24782"/>
    <w:rsid w:val="00C248D5"/>
    <w:rsid w:val="00C26471"/>
    <w:rsid w:val="00C2717E"/>
    <w:rsid w:val="00C3122C"/>
    <w:rsid w:val="00C31518"/>
    <w:rsid w:val="00C341B2"/>
    <w:rsid w:val="00C40741"/>
    <w:rsid w:val="00C40BCF"/>
    <w:rsid w:val="00C435D4"/>
    <w:rsid w:val="00C44F26"/>
    <w:rsid w:val="00C46E20"/>
    <w:rsid w:val="00C47D19"/>
    <w:rsid w:val="00C50508"/>
    <w:rsid w:val="00C51E98"/>
    <w:rsid w:val="00C52A16"/>
    <w:rsid w:val="00C5423A"/>
    <w:rsid w:val="00C54ABC"/>
    <w:rsid w:val="00C554F4"/>
    <w:rsid w:val="00C60F4B"/>
    <w:rsid w:val="00C622D5"/>
    <w:rsid w:val="00C62C0F"/>
    <w:rsid w:val="00C705EB"/>
    <w:rsid w:val="00C72577"/>
    <w:rsid w:val="00C74479"/>
    <w:rsid w:val="00C748C5"/>
    <w:rsid w:val="00C74D34"/>
    <w:rsid w:val="00C75315"/>
    <w:rsid w:val="00C76507"/>
    <w:rsid w:val="00C809E0"/>
    <w:rsid w:val="00C836AB"/>
    <w:rsid w:val="00C842B6"/>
    <w:rsid w:val="00C85E29"/>
    <w:rsid w:val="00C865E4"/>
    <w:rsid w:val="00C86680"/>
    <w:rsid w:val="00C87105"/>
    <w:rsid w:val="00C91D63"/>
    <w:rsid w:val="00C9387E"/>
    <w:rsid w:val="00C96415"/>
    <w:rsid w:val="00C97A59"/>
    <w:rsid w:val="00CA1AE3"/>
    <w:rsid w:val="00CA3198"/>
    <w:rsid w:val="00CA58A5"/>
    <w:rsid w:val="00CA5B47"/>
    <w:rsid w:val="00CA6952"/>
    <w:rsid w:val="00CA73E6"/>
    <w:rsid w:val="00CA746D"/>
    <w:rsid w:val="00CA759B"/>
    <w:rsid w:val="00CA7E06"/>
    <w:rsid w:val="00CB0F35"/>
    <w:rsid w:val="00CB18D3"/>
    <w:rsid w:val="00CB2BA1"/>
    <w:rsid w:val="00CB2DCB"/>
    <w:rsid w:val="00CB656D"/>
    <w:rsid w:val="00CB7F4C"/>
    <w:rsid w:val="00CC413F"/>
    <w:rsid w:val="00CC4778"/>
    <w:rsid w:val="00CC5FBE"/>
    <w:rsid w:val="00CD05B9"/>
    <w:rsid w:val="00CD075F"/>
    <w:rsid w:val="00CD2D36"/>
    <w:rsid w:val="00CD4976"/>
    <w:rsid w:val="00CD685F"/>
    <w:rsid w:val="00CE0A54"/>
    <w:rsid w:val="00CE3EAF"/>
    <w:rsid w:val="00CE472E"/>
    <w:rsid w:val="00CE4D24"/>
    <w:rsid w:val="00CE73AA"/>
    <w:rsid w:val="00CF0068"/>
    <w:rsid w:val="00CF1F01"/>
    <w:rsid w:val="00CF1F8D"/>
    <w:rsid w:val="00CF343E"/>
    <w:rsid w:val="00CF3FE1"/>
    <w:rsid w:val="00CF5518"/>
    <w:rsid w:val="00CF5538"/>
    <w:rsid w:val="00CF56BA"/>
    <w:rsid w:val="00D007FA"/>
    <w:rsid w:val="00D044BF"/>
    <w:rsid w:val="00D06697"/>
    <w:rsid w:val="00D10C75"/>
    <w:rsid w:val="00D12268"/>
    <w:rsid w:val="00D16B8D"/>
    <w:rsid w:val="00D17174"/>
    <w:rsid w:val="00D174C0"/>
    <w:rsid w:val="00D17DF2"/>
    <w:rsid w:val="00D20D37"/>
    <w:rsid w:val="00D217D4"/>
    <w:rsid w:val="00D220A8"/>
    <w:rsid w:val="00D22C57"/>
    <w:rsid w:val="00D230B9"/>
    <w:rsid w:val="00D238D6"/>
    <w:rsid w:val="00D333EF"/>
    <w:rsid w:val="00D40C71"/>
    <w:rsid w:val="00D43C4A"/>
    <w:rsid w:val="00D4472D"/>
    <w:rsid w:val="00D461B7"/>
    <w:rsid w:val="00D4771B"/>
    <w:rsid w:val="00D50133"/>
    <w:rsid w:val="00D50534"/>
    <w:rsid w:val="00D515E6"/>
    <w:rsid w:val="00D53BAF"/>
    <w:rsid w:val="00D54E9D"/>
    <w:rsid w:val="00D5569D"/>
    <w:rsid w:val="00D6257D"/>
    <w:rsid w:val="00D63D6F"/>
    <w:rsid w:val="00D64729"/>
    <w:rsid w:val="00D64BBE"/>
    <w:rsid w:val="00D70818"/>
    <w:rsid w:val="00D77E74"/>
    <w:rsid w:val="00D8025C"/>
    <w:rsid w:val="00D812C8"/>
    <w:rsid w:val="00D8140D"/>
    <w:rsid w:val="00D82BA8"/>
    <w:rsid w:val="00D834A3"/>
    <w:rsid w:val="00D845BC"/>
    <w:rsid w:val="00D84FA3"/>
    <w:rsid w:val="00D931FC"/>
    <w:rsid w:val="00D9747D"/>
    <w:rsid w:val="00DA57FD"/>
    <w:rsid w:val="00DA5AAE"/>
    <w:rsid w:val="00DB1B64"/>
    <w:rsid w:val="00DB58B8"/>
    <w:rsid w:val="00DC22A2"/>
    <w:rsid w:val="00DC32B0"/>
    <w:rsid w:val="00DC4CB3"/>
    <w:rsid w:val="00DC6A49"/>
    <w:rsid w:val="00DD0E0A"/>
    <w:rsid w:val="00DD1B8C"/>
    <w:rsid w:val="00DD20C1"/>
    <w:rsid w:val="00DD2AEE"/>
    <w:rsid w:val="00DD4072"/>
    <w:rsid w:val="00DD676B"/>
    <w:rsid w:val="00DD7C24"/>
    <w:rsid w:val="00DE15D8"/>
    <w:rsid w:val="00DE23A0"/>
    <w:rsid w:val="00DE275D"/>
    <w:rsid w:val="00DE7A89"/>
    <w:rsid w:val="00DF29CA"/>
    <w:rsid w:val="00DF312C"/>
    <w:rsid w:val="00DF3A6C"/>
    <w:rsid w:val="00DF55E0"/>
    <w:rsid w:val="00DF5908"/>
    <w:rsid w:val="00E003AF"/>
    <w:rsid w:val="00E028D2"/>
    <w:rsid w:val="00E047E5"/>
    <w:rsid w:val="00E109ED"/>
    <w:rsid w:val="00E11469"/>
    <w:rsid w:val="00E11F9B"/>
    <w:rsid w:val="00E1694E"/>
    <w:rsid w:val="00E1745F"/>
    <w:rsid w:val="00E20D38"/>
    <w:rsid w:val="00E220D1"/>
    <w:rsid w:val="00E25857"/>
    <w:rsid w:val="00E26B64"/>
    <w:rsid w:val="00E30878"/>
    <w:rsid w:val="00E337E5"/>
    <w:rsid w:val="00E34636"/>
    <w:rsid w:val="00E36760"/>
    <w:rsid w:val="00E379D9"/>
    <w:rsid w:val="00E37BBC"/>
    <w:rsid w:val="00E37E51"/>
    <w:rsid w:val="00E40AD0"/>
    <w:rsid w:val="00E41D0A"/>
    <w:rsid w:val="00E439D8"/>
    <w:rsid w:val="00E4757E"/>
    <w:rsid w:val="00E47A39"/>
    <w:rsid w:val="00E51CA4"/>
    <w:rsid w:val="00E558E4"/>
    <w:rsid w:val="00E566C8"/>
    <w:rsid w:val="00E567D3"/>
    <w:rsid w:val="00E56F1A"/>
    <w:rsid w:val="00E600D7"/>
    <w:rsid w:val="00E617C8"/>
    <w:rsid w:val="00E65139"/>
    <w:rsid w:val="00E6690A"/>
    <w:rsid w:val="00E72DDD"/>
    <w:rsid w:val="00E7446D"/>
    <w:rsid w:val="00E74859"/>
    <w:rsid w:val="00E75915"/>
    <w:rsid w:val="00E759C0"/>
    <w:rsid w:val="00E75A08"/>
    <w:rsid w:val="00E76948"/>
    <w:rsid w:val="00E8569F"/>
    <w:rsid w:val="00E85EEE"/>
    <w:rsid w:val="00E86981"/>
    <w:rsid w:val="00E86DD3"/>
    <w:rsid w:val="00E907FD"/>
    <w:rsid w:val="00E90DD9"/>
    <w:rsid w:val="00E91D30"/>
    <w:rsid w:val="00E93749"/>
    <w:rsid w:val="00E93B60"/>
    <w:rsid w:val="00E93BB2"/>
    <w:rsid w:val="00E956D6"/>
    <w:rsid w:val="00E95AE9"/>
    <w:rsid w:val="00E95DB7"/>
    <w:rsid w:val="00EA1CD3"/>
    <w:rsid w:val="00EA2D92"/>
    <w:rsid w:val="00EA3C41"/>
    <w:rsid w:val="00EA4F58"/>
    <w:rsid w:val="00EA4F89"/>
    <w:rsid w:val="00EA55C6"/>
    <w:rsid w:val="00EB11C9"/>
    <w:rsid w:val="00EB1DBB"/>
    <w:rsid w:val="00EB24F0"/>
    <w:rsid w:val="00EB5CD4"/>
    <w:rsid w:val="00EB5CD5"/>
    <w:rsid w:val="00EB6B7A"/>
    <w:rsid w:val="00EC046F"/>
    <w:rsid w:val="00EC09CC"/>
    <w:rsid w:val="00EC5BE3"/>
    <w:rsid w:val="00ED3E17"/>
    <w:rsid w:val="00ED7888"/>
    <w:rsid w:val="00EE02CB"/>
    <w:rsid w:val="00EF00CE"/>
    <w:rsid w:val="00EF28F4"/>
    <w:rsid w:val="00EF32FB"/>
    <w:rsid w:val="00EF612B"/>
    <w:rsid w:val="00F01710"/>
    <w:rsid w:val="00F017DA"/>
    <w:rsid w:val="00F03430"/>
    <w:rsid w:val="00F04747"/>
    <w:rsid w:val="00F12BD7"/>
    <w:rsid w:val="00F12E53"/>
    <w:rsid w:val="00F13881"/>
    <w:rsid w:val="00F1394A"/>
    <w:rsid w:val="00F1519F"/>
    <w:rsid w:val="00F24086"/>
    <w:rsid w:val="00F24D05"/>
    <w:rsid w:val="00F2562F"/>
    <w:rsid w:val="00F26EA3"/>
    <w:rsid w:val="00F30B77"/>
    <w:rsid w:val="00F30D35"/>
    <w:rsid w:val="00F31C62"/>
    <w:rsid w:val="00F35BC2"/>
    <w:rsid w:val="00F35D56"/>
    <w:rsid w:val="00F37031"/>
    <w:rsid w:val="00F37D9D"/>
    <w:rsid w:val="00F4175E"/>
    <w:rsid w:val="00F420BE"/>
    <w:rsid w:val="00F43C17"/>
    <w:rsid w:val="00F446BF"/>
    <w:rsid w:val="00F45670"/>
    <w:rsid w:val="00F46E60"/>
    <w:rsid w:val="00F471A3"/>
    <w:rsid w:val="00F47CAF"/>
    <w:rsid w:val="00F47D90"/>
    <w:rsid w:val="00F50EAA"/>
    <w:rsid w:val="00F5161E"/>
    <w:rsid w:val="00F522B1"/>
    <w:rsid w:val="00F529E2"/>
    <w:rsid w:val="00F52F14"/>
    <w:rsid w:val="00F54657"/>
    <w:rsid w:val="00F56735"/>
    <w:rsid w:val="00F57A98"/>
    <w:rsid w:val="00F6071B"/>
    <w:rsid w:val="00F60A2A"/>
    <w:rsid w:val="00F62136"/>
    <w:rsid w:val="00F62A23"/>
    <w:rsid w:val="00F658A8"/>
    <w:rsid w:val="00F6661E"/>
    <w:rsid w:val="00F6674D"/>
    <w:rsid w:val="00F6683C"/>
    <w:rsid w:val="00F7133D"/>
    <w:rsid w:val="00F733C9"/>
    <w:rsid w:val="00F73743"/>
    <w:rsid w:val="00F74CF0"/>
    <w:rsid w:val="00F77020"/>
    <w:rsid w:val="00F80C4F"/>
    <w:rsid w:val="00F83494"/>
    <w:rsid w:val="00F84DA3"/>
    <w:rsid w:val="00F90067"/>
    <w:rsid w:val="00F914F0"/>
    <w:rsid w:val="00F920D6"/>
    <w:rsid w:val="00F94C7C"/>
    <w:rsid w:val="00F967AC"/>
    <w:rsid w:val="00F96BE6"/>
    <w:rsid w:val="00F96CE3"/>
    <w:rsid w:val="00FA0607"/>
    <w:rsid w:val="00FA1062"/>
    <w:rsid w:val="00FA16E2"/>
    <w:rsid w:val="00FA1C79"/>
    <w:rsid w:val="00FB0517"/>
    <w:rsid w:val="00FB0AC1"/>
    <w:rsid w:val="00FB1915"/>
    <w:rsid w:val="00FB43BC"/>
    <w:rsid w:val="00FB4B25"/>
    <w:rsid w:val="00FB5EB7"/>
    <w:rsid w:val="00FB644F"/>
    <w:rsid w:val="00FB6DE6"/>
    <w:rsid w:val="00FB717A"/>
    <w:rsid w:val="00FC1E81"/>
    <w:rsid w:val="00FC3726"/>
    <w:rsid w:val="00FC37AA"/>
    <w:rsid w:val="00FC4B58"/>
    <w:rsid w:val="00FC624F"/>
    <w:rsid w:val="00FC64EA"/>
    <w:rsid w:val="00FD058C"/>
    <w:rsid w:val="00FD39AF"/>
    <w:rsid w:val="00FD3B96"/>
    <w:rsid w:val="00FD5CCA"/>
    <w:rsid w:val="00FD6EAB"/>
    <w:rsid w:val="00FE3BC8"/>
    <w:rsid w:val="00FE61BE"/>
    <w:rsid w:val="00FE7121"/>
    <w:rsid w:val="00FE7EDE"/>
    <w:rsid w:val="00FF2528"/>
    <w:rsid w:val="00FF6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D260"/>
  <w15:chartTrackingRefBased/>
  <w15:docId w15:val="{072727DB-4D9E-48A2-826C-2BFBADC8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3F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3F7"/>
    <w:pPr>
      <w:ind w:left="720"/>
      <w:contextualSpacing/>
    </w:pPr>
  </w:style>
  <w:style w:type="paragraph" w:styleId="FootnoteText">
    <w:name w:val="footnote text"/>
    <w:basedOn w:val="Normal"/>
    <w:link w:val="FootnoteTextChar"/>
    <w:uiPriority w:val="99"/>
    <w:unhideWhenUsed/>
    <w:rsid w:val="00A73702"/>
    <w:pPr>
      <w:spacing w:after="0" w:line="240" w:lineRule="auto"/>
    </w:pPr>
    <w:rPr>
      <w:sz w:val="20"/>
      <w:szCs w:val="20"/>
    </w:rPr>
  </w:style>
  <w:style w:type="character" w:customStyle="1" w:styleId="FootnoteTextChar">
    <w:name w:val="Footnote Text Char"/>
    <w:basedOn w:val="DefaultParagraphFont"/>
    <w:link w:val="FootnoteText"/>
    <w:uiPriority w:val="99"/>
    <w:rsid w:val="00A73702"/>
    <w:rPr>
      <w:kern w:val="0"/>
      <w:sz w:val="20"/>
      <w:szCs w:val="20"/>
      <w:lang w:val="sv-SE"/>
      <w14:ligatures w14:val="none"/>
    </w:rPr>
  </w:style>
  <w:style w:type="character" w:styleId="FootnoteReference">
    <w:name w:val="footnote reference"/>
    <w:basedOn w:val="DefaultParagraphFont"/>
    <w:uiPriority w:val="99"/>
    <w:semiHidden/>
    <w:unhideWhenUsed/>
    <w:rsid w:val="00A73702"/>
    <w:rPr>
      <w:vertAlign w:val="superscript"/>
    </w:rPr>
  </w:style>
  <w:style w:type="character" w:styleId="Hyperlink">
    <w:name w:val="Hyperlink"/>
    <w:basedOn w:val="DefaultParagraphFont"/>
    <w:uiPriority w:val="99"/>
    <w:unhideWhenUsed/>
    <w:rsid w:val="00454CB9"/>
    <w:rPr>
      <w:color w:val="0563C1" w:themeColor="hyperlink"/>
      <w:u w:val="single"/>
    </w:rPr>
  </w:style>
  <w:style w:type="character" w:styleId="UnresolvedMention">
    <w:name w:val="Unresolved Mention"/>
    <w:basedOn w:val="DefaultParagraphFont"/>
    <w:uiPriority w:val="99"/>
    <w:semiHidden/>
    <w:unhideWhenUsed/>
    <w:rsid w:val="00454CB9"/>
    <w:rPr>
      <w:color w:val="605E5C"/>
      <w:shd w:val="clear" w:color="auto" w:fill="E1DFDD"/>
    </w:rPr>
  </w:style>
  <w:style w:type="paragraph" w:styleId="EndnoteText">
    <w:name w:val="endnote text"/>
    <w:basedOn w:val="Normal"/>
    <w:link w:val="EndnoteTextChar"/>
    <w:uiPriority w:val="99"/>
    <w:semiHidden/>
    <w:unhideWhenUsed/>
    <w:rsid w:val="00E759C0"/>
    <w:pPr>
      <w:spacing w:after="0" w:line="240" w:lineRule="auto"/>
    </w:pPr>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semiHidden/>
    <w:rsid w:val="00E759C0"/>
    <w:rPr>
      <w:rFonts w:ascii="Calibri" w:eastAsia="Calibri" w:hAnsi="Calibri" w:cs="Times New Roman"/>
      <w:kern w:val="0"/>
      <w:sz w:val="20"/>
      <w:szCs w:val="20"/>
      <w:lang w:val="en-US"/>
      <w14:ligatures w14:val="none"/>
    </w:rPr>
  </w:style>
  <w:style w:type="paragraph" w:customStyle="1" w:styleId="paragraph">
    <w:name w:val="paragraph"/>
    <w:basedOn w:val="Normal"/>
    <w:rsid w:val="000A59C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eop">
    <w:name w:val="eop"/>
    <w:basedOn w:val="DefaultParagraphFont"/>
    <w:rsid w:val="00C205D6"/>
  </w:style>
  <w:style w:type="paragraph" w:styleId="Revision">
    <w:name w:val="Revision"/>
    <w:hidden/>
    <w:uiPriority w:val="99"/>
    <w:semiHidden/>
    <w:rsid w:val="00CD075F"/>
    <w:pPr>
      <w:spacing w:after="0" w:line="240" w:lineRule="auto"/>
    </w:pPr>
    <w:rPr>
      <w:kern w:val="0"/>
      <w14:ligatures w14:val="none"/>
    </w:rPr>
  </w:style>
  <w:style w:type="paragraph" w:styleId="Footer">
    <w:name w:val="footer"/>
    <w:basedOn w:val="Normal"/>
    <w:link w:val="FooterChar"/>
    <w:uiPriority w:val="99"/>
    <w:unhideWhenUsed/>
    <w:rsid w:val="00CD0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75F"/>
    <w:rPr>
      <w:kern w:val="0"/>
      <w14:ligatures w14:val="none"/>
    </w:rPr>
  </w:style>
  <w:style w:type="character" w:styleId="PageNumber">
    <w:name w:val="page number"/>
    <w:basedOn w:val="DefaultParagraphFont"/>
    <w:uiPriority w:val="99"/>
    <w:semiHidden/>
    <w:unhideWhenUsed/>
    <w:rsid w:val="00CD075F"/>
  </w:style>
  <w:style w:type="character" w:styleId="CommentReference">
    <w:name w:val="annotation reference"/>
    <w:basedOn w:val="DefaultParagraphFont"/>
    <w:uiPriority w:val="99"/>
    <w:semiHidden/>
    <w:unhideWhenUsed/>
    <w:rsid w:val="00CD075F"/>
    <w:rPr>
      <w:sz w:val="16"/>
      <w:szCs w:val="16"/>
    </w:rPr>
  </w:style>
  <w:style w:type="paragraph" w:styleId="CommentText">
    <w:name w:val="annotation text"/>
    <w:basedOn w:val="Normal"/>
    <w:link w:val="CommentTextChar"/>
    <w:uiPriority w:val="99"/>
    <w:unhideWhenUsed/>
    <w:rsid w:val="00CD075F"/>
    <w:pPr>
      <w:spacing w:line="240" w:lineRule="auto"/>
    </w:pPr>
    <w:rPr>
      <w:sz w:val="20"/>
      <w:szCs w:val="20"/>
    </w:rPr>
  </w:style>
  <w:style w:type="character" w:customStyle="1" w:styleId="CommentTextChar">
    <w:name w:val="Comment Text Char"/>
    <w:basedOn w:val="DefaultParagraphFont"/>
    <w:link w:val="CommentText"/>
    <w:uiPriority w:val="99"/>
    <w:rsid w:val="00CD075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075F"/>
    <w:rPr>
      <w:b/>
      <w:bCs/>
    </w:rPr>
  </w:style>
  <w:style w:type="character" w:customStyle="1" w:styleId="CommentSubjectChar">
    <w:name w:val="Comment Subject Char"/>
    <w:basedOn w:val="CommentTextChar"/>
    <w:link w:val="CommentSubject"/>
    <w:uiPriority w:val="99"/>
    <w:semiHidden/>
    <w:rsid w:val="00CD075F"/>
    <w:rPr>
      <w:b/>
      <w:bCs/>
      <w:kern w:val="0"/>
      <w:sz w:val="20"/>
      <w:szCs w:val="20"/>
      <w14:ligatures w14:val="none"/>
    </w:rPr>
  </w:style>
  <w:style w:type="paragraph" w:styleId="Header">
    <w:name w:val="header"/>
    <w:basedOn w:val="Normal"/>
    <w:link w:val="HeaderChar"/>
    <w:uiPriority w:val="99"/>
    <w:unhideWhenUsed/>
    <w:rsid w:val="001770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709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58271">
      <w:bodyDiv w:val="1"/>
      <w:marLeft w:val="0"/>
      <w:marRight w:val="0"/>
      <w:marTop w:val="0"/>
      <w:marBottom w:val="0"/>
      <w:divBdr>
        <w:top w:val="none" w:sz="0" w:space="0" w:color="auto"/>
        <w:left w:val="none" w:sz="0" w:space="0" w:color="auto"/>
        <w:bottom w:val="none" w:sz="0" w:space="0" w:color="auto"/>
        <w:right w:val="none" w:sz="0" w:space="0" w:color="auto"/>
      </w:divBdr>
      <w:divsChild>
        <w:div w:id="1495073398">
          <w:marLeft w:val="0"/>
          <w:marRight w:val="0"/>
          <w:marTop w:val="0"/>
          <w:marBottom w:val="0"/>
          <w:divBdr>
            <w:top w:val="none" w:sz="0" w:space="0" w:color="auto"/>
            <w:left w:val="none" w:sz="0" w:space="0" w:color="auto"/>
            <w:bottom w:val="none" w:sz="0" w:space="0" w:color="auto"/>
            <w:right w:val="none" w:sz="0" w:space="0" w:color="auto"/>
          </w:divBdr>
        </w:div>
        <w:div w:id="1803576958">
          <w:marLeft w:val="0"/>
          <w:marRight w:val="0"/>
          <w:marTop w:val="0"/>
          <w:marBottom w:val="0"/>
          <w:divBdr>
            <w:top w:val="none" w:sz="0" w:space="0" w:color="auto"/>
            <w:left w:val="none" w:sz="0" w:space="0" w:color="auto"/>
            <w:bottom w:val="none" w:sz="0" w:space="0" w:color="auto"/>
            <w:right w:val="none" w:sz="0" w:space="0" w:color="auto"/>
          </w:divBdr>
        </w:div>
        <w:div w:id="115803280">
          <w:marLeft w:val="0"/>
          <w:marRight w:val="0"/>
          <w:marTop w:val="0"/>
          <w:marBottom w:val="0"/>
          <w:divBdr>
            <w:top w:val="none" w:sz="0" w:space="0" w:color="auto"/>
            <w:left w:val="none" w:sz="0" w:space="0" w:color="auto"/>
            <w:bottom w:val="none" w:sz="0" w:space="0" w:color="auto"/>
            <w:right w:val="none" w:sz="0" w:space="0" w:color="auto"/>
          </w:divBdr>
        </w:div>
      </w:divsChild>
    </w:div>
    <w:div w:id="280696167">
      <w:bodyDiv w:val="1"/>
      <w:marLeft w:val="0"/>
      <w:marRight w:val="0"/>
      <w:marTop w:val="0"/>
      <w:marBottom w:val="0"/>
      <w:divBdr>
        <w:top w:val="none" w:sz="0" w:space="0" w:color="auto"/>
        <w:left w:val="none" w:sz="0" w:space="0" w:color="auto"/>
        <w:bottom w:val="none" w:sz="0" w:space="0" w:color="auto"/>
        <w:right w:val="none" w:sz="0" w:space="0" w:color="auto"/>
      </w:divBdr>
    </w:div>
    <w:div w:id="299922415">
      <w:bodyDiv w:val="1"/>
      <w:marLeft w:val="0"/>
      <w:marRight w:val="0"/>
      <w:marTop w:val="0"/>
      <w:marBottom w:val="0"/>
      <w:divBdr>
        <w:top w:val="none" w:sz="0" w:space="0" w:color="auto"/>
        <w:left w:val="none" w:sz="0" w:space="0" w:color="auto"/>
        <w:bottom w:val="none" w:sz="0" w:space="0" w:color="auto"/>
        <w:right w:val="none" w:sz="0" w:space="0" w:color="auto"/>
      </w:divBdr>
      <w:divsChild>
        <w:div w:id="1848984075">
          <w:marLeft w:val="0"/>
          <w:marRight w:val="0"/>
          <w:marTop w:val="0"/>
          <w:marBottom w:val="0"/>
          <w:divBdr>
            <w:top w:val="none" w:sz="0" w:space="0" w:color="auto"/>
            <w:left w:val="none" w:sz="0" w:space="0" w:color="auto"/>
            <w:bottom w:val="none" w:sz="0" w:space="0" w:color="auto"/>
            <w:right w:val="none" w:sz="0" w:space="0" w:color="auto"/>
          </w:divBdr>
        </w:div>
        <w:div w:id="908999466">
          <w:marLeft w:val="0"/>
          <w:marRight w:val="0"/>
          <w:marTop w:val="0"/>
          <w:marBottom w:val="0"/>
          <w:divBdr>
            <w:top w:val="none" w:sz="0" w:space="0" w:color="auto"/>
            <w:left w:val="none" w:sz="0" w:space="0" w:color="auto"/>
            <w:bottom w:val="none" w:sz="0" w:space="0" w:color="auto"/>
            <w:right w:val="none" w:sz="0" w:space="0" w:color="auto"/>
          </w:divBdr>
        </w:div>
        <w:div w:id="1675841699">
          <w:marLeft w:val="0"/>
          <w:marRight w:val="0"/>
          <w:marTop w:val="0"/>
          <w:marBottom w:val="0"/>
          <w:divBdr>
            <w:top w:val="none" w:sz="0" w:space="0" w:color="auto"/>
            <w:left w:val="none" w:sz="0" w:space="0" w:color="auto"/>
            <w:bottom w:val="none" w:sz="0" w:space="0" w:color="auto"/>
            <w:right w:val="none" w:sz="0" w:space="0" w:color="auto"/>
          </w:divBdr>
        </w:div>
      </w:divsChild>
    </w:div>
    <w:div w:id="580529145">
      <w:bodyDiv w:val="1"/>
      <w:marLeft w:val="0"/>
      <w:marRight w:val="0"/>
      <w:marTop w:val="0"/>
      <w:marBottom w:val="0"/>
      <w:divBdr>
        <w:top w:val="none" w:sz="0" w:space="0" w:color="auto"/>
        <w:left w:val="none" w:sz="0" w:space="0" w:color="auto"/>
        <w:bottom w:val="none" w:sz="0" w:space="0" w:color="auto"/>
        <w:right w:val="none" w:sz="0" w:space="0" w:color="auto"/>
      </w:divBdr>
      <w:divsChild>
        <w:div w:id="1813520691">
          <w:marLeft w:val="0"/>
          <w:marRight w:val="0"/>
          <w:marTop w:val="0"/>
          <w:marBottom w:val="0"/>
          <w:divBdr>
            <w:top w:val="none" w:sz="0" w:space="0" w:color="auto"/>
            <w:left w:val="none" w:sz="0" w:space="0" w:color="auto"/>
            <w:bottom w:val="none" w:sz="0" w:space="0" w:color="auto"/>
            <w:right w:val="none" w:sz="0" w:space="0" w:color="auto"/>
          </w:divBdr>
          <w:divsChild>
            <w:div w:id="281613363">
              <w:marLeft w:val="0"/>
              <w:marRight w:val="0"/>
              <w:marTop w:val="0"/>
              <w:marBottom w:val="0"/>
              <w:divBdr>
                <w:top w:val="none" w:sz="0" w:space="0" w:color="auto"/>
                <w:left w:val="none" w:sz="0" w:space="0" w:color="auto"/>
                <w:bottom w:val="none" w:sz="0" w:space="0" w:color="auto"/>
                <w:right w:val="none" w:sz="0" w:space="0" w:color="auto"/>
              </w:divBdr>
              <w:divsChild>
                <w:div w:id="8916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4401">
      <w:bodyDiv w:val="1"/>
      <w:marLeft w:val="0"/>
      <w:marRight w:val="0"/>
      <w:marTop w:val="0"/>
      <w:marBottom w:val="0"/>
      <w:divBdr>
        <w:top w:val="none" w:sz="0" w:space="0" w:color="auto"/>
        <w:left w:val="none" w:sz="0" w:space="0" w:color="auto"/>
        <w:bottom w:val="none" w:sz="0" w:space="0" w:color="auto"/>
        <w:right w:val="none" w:sz="0" w:space="0" w:color="auto"/>
      </w:divBdr>
      <w:divsChild>
        <w:div w:id="352659329">
          <w:marLeft w:val="0"/>
          <w:marRight w:val="0"/>
          <w:marTop w:val="0"/>
          <w:marBottom w:val="0"/>
          <w:divBdr>
            <w:top w:val="none" w:sz="0" w:space="0" w:color="auto"/>
            <w:left w:val="none" w:sz="0" w:space="0" w:color="auto"/>
            <w:bottom w:val="none" w:sz="0" w:space="0" w:color="auto"/>
            <w:right w:val="none" w:sz="0" w:space="0" w:color="auto"/>
          </w:divBdr>
        </w:div>
        <w:div w:id="325935235">
          <w:marLeft w:val="0"/>
          <w:marRight w:val="0"/>
          <w:marTop w:val="0"/>
          <w:marBottom w:val="0"/>
          <w:divBdr>
            <w:top w:val="none" w:sz="0" w:space="0" w:color="auto"/>
            <w:left w:val="none" w:sz="0" w:space="0" w:color="auto"/>
            <w:bottom w:val="none" w:sz="0" w:space="0" w:color="auto"/>
            <w:right w:val="none" w:sz="0" w:space="0" w:color="auto"/>
          </w:divBdr>
        </w:div>
      </w:divsChild>
    </w:div>
    <w:div w:id="1256591136">
      <w:bodyDiv w:val="1"/>
      <w:marLeft w:val="0"/>
      <w:marRight w:val="0"/>
      <w:marTop w:val="0"/>
      <w:marBottom w:val="0"/>
      <w:divBdr>
        <w:top w:val="none" w:sz="0" w:space="0" w:color="auto"/>
        <w:left w:val="none" w:sz="0" w:space="0" w:color="auto"/>
        <w:bottom w:val="none" w:sz="0" w:space="0" w:color="auto"/>
        <w:right w:val="none" w:sz="0" w:space="0" w:color="auto"/>
      </w:divBdr>
      <w:divsChild>
        <w:div w:id="1503079836">
          <w:marLeft w:val="0"/>
          <w:marRight w:val="0"/>
          <w:marTop w:val="0"/>
          <w:marBottom w:val="0"/>
          <w:divBdr>
            <w:top w:val="none" w:sz="0" w:space="0" w:color="auto"/>
            <w:left w:val="none" w:sz="0" w:space="0" w:color="auto"/>
            <w:bottom w:val="none" w:sz="0" w:space="0" w:color="auto"/>
            <w:right w:val="none" w:sz="0" w:space="0" w:color="auto"/>
          </w:divBdr>
          <w:divsChild>
            <w:div w:id="438332653">
              <w:marLeft w:val="0"/>
              <w:marRight w:val="0"/>
              <w:marTop w:val="0"/>
              <w:marBottom w:val="0"/>
              <w:divBdr>
                <w:top w:val="none" w:sz="0" w:space="0" w:color="auto"/>
                <w:left w:val="none" w:sz="0" w:space="0" w:color="auto"/>
                <w:bottom w:val="none" w:sz="0" w:space="0" w:color="auto"/>
                <w:right w:val="none" w:sz="0" w:space="0" w:color="auto"/>
              </w:divBdr>
              <w:divsChild>
                <w:div w:id="20731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044690">
      <w:bodyDiv w:val="1"/>
      <w:marLeft w:val="0"/>
      <w:marRight w:val="0"/>
      <w:marTop w:val="0"/>
      <w:marBottom w:val="0"/>
      <w:divBdr>
        <w:top w:val="none" w:sz="0" w:space="0" w:color="auto"/>
        <w:left w:val="none" w:sz="0" w:space="0" w:color="auto"/>
        <w:bottom w:val="none" w:sz="0" w:space="0" w:color="auto"/>
        <w:right w:val="none" w:sz="0" w:space="0" w:color="auto"/>
      </w:divBdr>
      <w:divsChild>
        <w:div w:id="1809009004">
          <w:marLeft w:val="0"/>
          <w:marRight w:val="0"/>
          <w:marTop w:val="0"/>
          <w:marBottom w:val="0"/>
          <w:divBdr>
            <w:top w:val="none" w:sz="0" w:space="0" w:color="auto"/>
            <w:left w:val="none" w:sz="0" w:space="0" w:color="auto"/>
            <w:bottom w:val="none" w:sz="0" w:space="0" w:color="auto"/>
            <w:right w:val="none" w:sz="0" w:space="0" w:color="auto"/>
          </w:divBdr>
          <w:divsChild>
            <w:div w:id="1864584774">
              <w:marLeft w:val="0"/>
              <w:marRight w:val="0"/>
              <w:marTop w:val="0"/>
              <w:marBottom w:val="0"/>
              <w:divBdr>
                <w:top w:val="none" w:sz="0" w:space="0" w:color="auto"/>
                <w:left w:val="none" w:sz="0" w:space="0" w:color="auto"/>
                <w:bottom w:val="none" w:sz="0" w:space="0" w:color="auto"/>
                <w:right w:val="none" w:sz="0" w:space="0" w:color="auto"/>
              </w:divBdr>
              <w:divsChild>
                <w:div w:id="8570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026796">
      <w:bodyDiv w:val="1"/>
      <w:marLeft w:val="0"/>
      <w:marRight w:val="0"/>
      <w:marTop w:val="0"/>
      <w:marBottom w:val="0"/>
      <w:divBdr>
        <w:top w:val="none" w:sz="0" w:space="0" w:color="auto"/>
        <w:left w:val="none" w:sz="0" w:space="0" w:color="auto"/>
        <w:bottom w:val="none" w:sz="0" w:space="0" w:color="auto"/>
        <w:right w:val="none" w:sz="0" w:space="0" w:color="auto"/>
      </w:divBdr>
      <w:divsChild>
        <w:div w:id="529296687">
          <w:marLeft w:val="0"/>
          <w:marRight w:val="0"/>
          <w:marTop w:val="0"/>
          <w:marBottom w:val="0"/>
          <w:divBdr>
            <w:top w:val="none" w:sz="0" w:space="0" w:color="auto"/>
            <w:left w:val="none" w:sz="0" w:space="0" w:color="auto"/>
            <w:bottom w:val="none" w:sz="0" w:space="0" w:color="auto"/>
            <w:right w:val="none" w:sz="0" w:space="0" w:color="auto"/>
          </w:divBdr>
          <w:divsChild>
            <w:div w:id="359665686">
              <w:marLeft w:val="0"/>
              <w:marRight w:val="0"/>
              <w:marTop w:val="0"/>
              <w:marBottom w:val="0"/>
              <w:divBdr>
                <w:top w:val="none" w:sz="0" w:space="0" w:color="auto"/>
                <w:left w:val="none" w:sz="0" w:space="0" w:color="auto"/>
                <w:bottom w:val="none" w:sz="0" w:space="0" w:color="auto"/>
                <w:right w:val="none" w:sz="0" w:space="0" w:color="auto"/>
              </w:divBdr>
              <w:divsChild>
                <w:div w:id="18032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81284">
      <w:bodyDiv w:val="1"/>
      <w:marLeft w:val="0"/>
      <w:marRight w:val="0"/>
      <w:marTop w:val="0"/>
      <w:marBottom w:val="0"/>
      <w:divBdr>
        <w:top w:val="none" w:sz="0" w:space="0" w:color="auto"/>
        <w:left w:val="none" w:sz="0" w:space="0" w:color="auto"/>
        <w:bottom w:val="none" w:sz="0" w:space="0" w:color="auto"/>
        <w:right w:val="none" w:sz="0" w:space="0" w:color="auto"/>
      </w:divBdr>
      <w:divsChild>
        <w:div w:id="1970429494">
          <w:marLeft w:val="0"/>
          <w:marRight w:val="0"/>
          <w:marTop w:val="0"/>
          <w:marBottom w:val="0"/>
          <w:divBdr>
            <w:top w:val="none" w:sz="0" w:space="0" w:color="auto"/>
            <w:left w:val="none" w:sz="0" w:space="0" w:color="auto"/>
            <w:bottom w:val="none" w:sz="0" w:space="0" w:color="auto"/>
            <w:right w:val="none" w:sz="0" w:space="0" w:color="auto"/>
          </w:divBdr>
          <w:divsChild>
            <w:div w:id="1557861530">
              <w:marLeft w:val="0"/>
              <w:marRight w:val="0"/>
              <w:marTop w:val="0"/>
              <w:marBottom w:val="0"/>
              <w:divBdr>
                <w:top w:val="none" w:sz="0" w:space="0" w:color="auto"/>
                <w:left w:val="none" w:sz="0" w:space="0" w:color="auto"/>
                <w:bottom w:val="none" w:sz="0" w:space="0" w:color="auto"/>
                <w:right w:val="none" w:sz="0" w:space="0" w:color="auto"/>
              </w:divBdr>
              <w:divsChild>
                <w:div w:id="160873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4337/97818008865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lgaronline.com/edcollbook/book/9781800886520/9781800886520.xml"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garonline.com/edcollchap/book/9781800886520/book-part-9781800886520-32.xml"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ptango.blogspot.com/2022/07/mexico-cultural-mis-appropriation.html" TargetMode="External"/><Relationship Id="rId13" Type="http://schemas.openxmlformats.org/officeDocument/2006/relationships/hyperlink" Target="https://www.epo.org/en/news-events/european-inventor-award/meet-the-finalists/carmen-hijosa" TargetMode="External"/><Relationship Id="rId3" Type="http://schemas.openxmlformats.org/officeDocument/2006/relationships/hyperlink" Target="http://ipkitten.blogspot.com/2011/12/katonomics-5-economics-of-ip-paradox-of.html" TargetMode="External"/><Relationship Id="rId7" Type="http://schemas.openxmlformats.org/officeDocument/2006/relationships/hyperlink" Target="https://iptango.blogspot.com/2019/05/the-guna-people-to-nike-just-dont-do-it.html" TargetMode="External"/><Relationship Id="rId12" Type="http://schemas.openxmlformats.org/officeDocument/2006/relationships/hyperlink" Target="https://ellenmacarthurfoundation.org/circular-examples/how-tool-sharing-could-become-a-public-utility" TargetMode="External"/><Relationship Id="rId2" Type="http://schemas.openxmlformats.org/officeDocument/2006/relationships/hyperlink" Target="https://ec.europa.eu/growth/sectors/fashion/high-end-industries/eu_en" TargetMode="External"/><Relationship Id="rId1" Type="http://schemas.openxmlformats.org/officeDocument/2006/relationships/hyperlink" Target="https://fashionunited.com/global-fashion-industry-statistics" TargetMode="External"/><Relationship Id="rId6" Type="http://schemas.openxmlformats.org/officeDocument/2006/relationships/hyperlink" Target="https://op.europa.eu/en/publication-detail/-/publication/e193a586-7f8c-11ea-aea8-01aa75ed71a1/language-en/format-PDF/source-124493516" TargetMode="External"/><Relationship Id="rId11" Type="http://schemas.openxmlformats.org/officeDocument/2006/relationships/hyperlink" Target="https://ellenmacarthurfoundation.org/topics/circular-economy-introduction/overview" TargetMode="External"/><Relationship Id="rId5" Type="http://schemas.openxmlformats.org/officeDocument/2006/relationships/hyperlink" Target="https://fashionista.com/2023/09/coperni-spring-2024-collection" TargetMode="External"/><Relationship Id="rId10" Type="http://schemas.openxmlformats.org/officeDocument/2006/relationships/hyperlink" Target="https://www.sciencedirect.com/science/article/pii/S0921344917302835" TargetMode="External"/><Relationship Id="rId4" Type="http://schemas.openxmlformats.org/officeDocument/2006/relationships/hyperlink" Target="https://www.europarl.europa.eu/RegData/etudes/BRIE/2022/730318/EPRS_BRI(2022)730318_EN.pdf" TargetMode="External"/><Relationship Id="rId9" Type="http://schemas.openxmlformats.org/officeDocument/2006/relationships/hyperlink" Target="https://doi.org/10.1016/j.resconrec.2017.09.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2BCB0210117419EC7E17A5007C936" ma:contentTypeVersion="17" ma:contentTypeDescription="Create a new document." ma:contentTypeScope="" ma:versionID="5a9c1447fd509cfc7b45c7b0f7938ba8">
  <xsd:schema xmlns:xsd="http://www.w3.org/2001/XMLSchema" xmlns:xs="http://www.w3.org/2001/XMLSchema" xmlns:p="http://schemas.microsoft.com/office/2006/metadata/properties" xmlns:ns3="62f5f60f-2e1a-4ca8-8821-25f95aa11b56" xmlns:ns4="1923e026-e5a6-4346-93cd-0e203170c009" targetNamespace="http://schemas.microsoft.com/office/2006/metadata/properties" ma:root="true" ma:fieldsID="208cfba89b63ee3e9d388ddba8ba52cc" ns3:_="" ns4:_="">
    <xsd:import namespace="62f5f60f-2e1a-4ca8-8821-25f95aa11b56"/>
    <xsd:import namespace="1923e026-e5a6-4346-93cd-0e203170c0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5f60f-2e1a-4ca8-8821-25f95aa11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23e026-e5a6-4346-93cd-0e203170c0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2f5f60f-2e1a-4ca8-8821-25f95aa11b56" xsi:nil="true"/>
  </documentManagement>
</p:properties>
</file>

<file path=customXml/itemProps1.xml><?xml version="1.0" encoding="utf-8"?>
<ds:datastoreItem xmlns:ds="http://schemas.openxmlformats.org/officeDocument/2006/customXml" ds:itemID="{AF87B580-9D2F-4D78-91C6-65DFA01D2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5f60f-2e1a-4ca8-8821-25f95aa11b56"/>
    <ds:schemaRef ds:uri="1923e026-e5a6-4346-93cd-0e203170c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ED7AE-CDB9-4ABB-801E-70CED14360DF}">
  <ds:schemaRefs>
    <ds:schemaRef ds:uri="http://schemas.microsoft.com/sharepoint/v3/contenttype/forms"/>
  </ds:schemaRefs>
</ds:datastoreItem>
</file>

<file path=customXml/itemProps3.xml><?xml version="1.0" encoding="utf-8"?>
<ds:datastoreItem xmlns:ds="http://schemas.openxmlformats.org/officeDocument/2006/customXml" ds:itemID="{065C5F54-C8E0-409A-9DD0-F3EE2FE1653A}">
  <ds:schemaRefs>
    <ds:schemaRef ds:uri="http://schemas.openxmlformats.org/officeDocument/2006/bibliography"/>
  </ds:schemaRefs>
</ds:datastoreItem>
</file>

<file path=customXml/itemProps4.xml><?xml version="1.0" encoding="utf-8"?>
<ds:datastoreItem xmlns:ds="http://schemas.openxmlformats.org/officeDocument/2006/customXml" ds:itemID="{D2E83334-3EAB-4C74-8917-7AC56B0CFD84}">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62f5f60f-2e1a-4ca8-8821-25f95aa11b56"/>
    <ds:schemaRef ds:uri="http://purl.org/dc/terms/"/>
    <ds:schemaRef ds:uri="http://purl.org/dc/dcmitype/"/>
    <ds:schemaRef ds:uri="1923e026-e5a6-4346-93cd-0e203170c009"/>
    <ds:schemaRef ds:uri="http://www.w3.org/XML/1998/namespace"/>
  </ds:schemaRefs>
</ds:datastoreItem>
</file>

<file path=docMetadata/LabelInfo.xml><?xml version="1.0" encoding="utf-8"?>
<clbl:labelList xmlns:clbl="http://schemas.microsoft.com/office/2020/mipLabelMetadata">
  <clbl:label id="{eba46400-24e6-4c07-a7c6-cc061e0f8d26}" enabled="0" method="" siteId="{eba46400-24e6-4c07-a7c6-cc061e0f8d26}"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24</Pages>
  <Words>8788</Words>
  <Characters>50096</Characters>
  <Application>Microsoft Office Word</Application>
  <DocSecurity>0</DocSecurity>
  <Lines>417</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University of Buckingham</Company>
  <LinksUpToDate>false</LinksUpToDate>
  <CharactersWithSpaces>58767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Covarrubia</dc:creator>
  <cp:keywords/>
  <dc:description/>
  <cp:lastModifiedBy>Freya Tyrrell</cp:lastModifiedBy>
  <cp:revision>4</cp:revision>
  <dcterms:created xsi:type="dcterms:W3CDTF">2024-09-27T10:55:00Z</dcterms:created>
  <dcterms:modified xsi:type="dcterms:W3CDTF">2024-09-27T11:17:00Z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0x0101007F92BCB0210117419EC7E17A5007C936</vt:lpwstr>
  </property>
</Properties>
</file>