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D459" w14:textId="74C1967E" w:rsidR="00AD5846" w:rsidRPr="004744E2" w:rsidRDefault="00AD5846" w:rsidP="00AD5846">
      <w:pPr>
        <w:pStyle w:val="BodyText"/>
        <w:widowControl/>
        <w:spacing w:line="276" w:lineRule="auto"/>
        <w:jc w:val="left"/>
        <w:rPr>
          <w:rFonts w:ascii="Arial" w:hAnsi="Arial" w:cs="Arial"/>
          <w:szCs w:val="24"/>
        </w:rPr>
      </w:pPr>
      <w:r w:rsidRPr="004744E2">
        <w:rPr>
          <w:rFonts w:ascii="Arial" w:hAnsi="Arial" w:cs="Arial"/>
          <w:szCs w:val="24"/>
        </w:rPr>
        <w:t>Palgrave Macmillan</w:t>
      </w:r>
    </w:p>
    <w:p w14:paraId="04794628" w14:textId="77777777" w:rsidR="00AD5846" w:rsidRPr="004744E2" w:rsidRDefault="00AD5846" w:rsidP="00AD5846">
      <w:pPr>
        <w:pStyle w:val="BodyText"/>
        <w:widowControl/>
        <w:spacing w:line="276" w:lineRule="auto"/>
        <w:jc w:val="left"/>
        <w:rPr>
          <w:rFonts w:ascii="Arial" w:hAnsi="Arial" w:cs="Arial"/>
          <w:szCs w:val="24"/>
        </w:rPr>
      </w:pPr>
    </w:p>
    <w:p w14:paraId="3B852E9E" w14:textId="77777777" w:rsidR="00AD5846" w:rsidRDefault="00AD5846" w:rsidP="00AD5846">
      <w:pPr>
        <w:pStyle w:val="BodyText"/>
        <w:widowControl/>
        <w:spacing w:line="276" w:lineRule="auto"/>
        <w:jc w:val="left"/>
        <w:rPr>
          <w:rFonts w:ascii="Arial" w:hAnsi="Arial" w:cs="Arial"/>
          <w:szCs w:val="24"/>
        </w:rPr>
      </w:pPr>
    </w:p>
    <w:p w14:paraId="7F5A452D" w14:textId="16B0C888" w:rsidR="00AD5846" w:rsidRPr="00D55C12" w:rsidRDefault="00AD5846" w:rsidP="00AD5846">
      <w:pPr>
        <w:pStyle w:val="BodyText"/>
        <w:widowControl/>
        <w:spacing w:line="276" w:lineRule="auto"/>
        <w:jc w:val="left"/>
        <w:rPr>
          <w:rFonts w:ascii="Arial" w:hAnsi="Arial" w:cs="Arial"/>
          <w:szCs w:val="24"/>
          <w:u w:val="none"/>
          <w:lang w:val="en-GB"/>
        </w:rPr>
      </w:pPr>
      <w:r w:rsidRPr="00D55C12">
        <w:rPr>
          <w:rFonts w:ascii="Arial" w:hAnsi="Arial" w:cs="Arial"/>
          <w:szCs w:val="24"/>
          <w:u w:val="none"/>
          <w:lang w:val="en-GB"/>
        </w:rPr>
        <w:t xml:space="preserve">The official publication can be found on the publisher’s website: </w:t>
      </w:r>
      <w:hyperlink r:id="rId8" w:history="1">
        <w:r w:rsidRPr="00D55C12">
          <w:rPr>
            <w:rStyle w:val="Hyperlink"/>
            <w:rFonts w:ascii="Arial" w:hAnsi="Arial" w:cs="Arial"/>
            <w:szCs w:val="24"/>
            <w:lang w:val="en-GB"/>
          </w:rPr>
          <w:t>https://link.springer.com/book/10.1057/9781137562357</w:t>
        </w:r>
      </w:hyperlink>
      <w:r w:rsidRPr="00D55C12">
        <w:rPr>
          <w:rFonts w:ascii="Arial" w:hAnsi="Arial" w:cs="Arial"/>
          <w:szCs w:val="24"/>
          <w:u w:val="none"/>
          <w:lang w:val="en-GB"/>
        </w:rPr>
        <w:t xml:space="preserve"> </w:t>
      </w:r>
    </w:p>
    <w:p w14:paraId="451CD120" w14:textId="77777777" w:rsidR="00AD5846" w:rsidRPr="00D55C12" w:rsidRDefault="00AD5846" w:rsidP="00AD5846">
      <w:pPr>
        <w:pStyle w:val="BodyText"/>
        <w:widowControl/>
        <w:spacing w:line="276" w:lineRule="auto"/>
        <w:jc w:val="left"/>
        <w:rPr>
          <w:rFonts w:ascii="Arial" w:hAnsi="Arial" w:cs="Arial"/>
          <w:szCs w:val="24"/>
          <w:u w:val="none"/>
          <w:lang w:val="en-GB"/>
        </w:rPr>
      </w:pPr>
    </w:p>
    <w:p w14:paraId="7D8F832D" w14:textId="29A7BBEB" w:rsidR="00AD5846" w:rsidRPr="00D55C12" w:rsidRDefault="00AD5846" w:rsidP="00AD5846">
      <w:pPr>
        <w:pStyle w:val="BodyText"/>
        <w:widowControl/>
        <w:spacing w:line="276" w:lineRule="auto"/>
        <w:jc w:val="left"/>
        <w:rPr>
          <w:rFonts w:ascii="Arial" w:hAnsi="Arial" w:cs="Arial"/>
          <w:szCs w:val="24"/>
          <w:u w:val="none"/>
        </w:rPr>
      </w:pPr>
      <w:r w:rsidRPr="00D55C12">
        <w:rPr>
          <w:rFonts w:ascii="Arial" w:hAnsi="Arial" w:cs="Arial"/>
          <w:szCs w:val="24"/>
          <w:u w:val="none"/>
          <w:lang w:val="en-GB"/>
        </w:rPr>
        <w:t xml:space="preserve">DOI: </w:t>
      </w:r>
      <w:hyperlink r:id="rId9" w:history="1">
        <w:r w:rsidRPr="00D55C12">
          <w:rPr>
            <w:rStyle w:val="Hyperlink"/>
            <w:rFonts w:ascii="Arial" w:hAnsi="Arial" w:cs="Arial"/>
            <w:shd w:val="clear" w:color="auto" w:fill="FFFFFF"/>
          </w:rPr>
          <w:t>https://doi.org/10.1057/9781137562357</w:t>
        </w:r>
      </w:hyperlink>
      <w:r w:rsidRPr="00D55C12">
        <w:rPr>
          <w:rFonts w:ascii="Arial" w:hAnsi="Arial" w:cs="Arial"/>
          <w:color w:val="333333"/>
          <w:shd w:val="clear" w:color="auto" w:fill="FFFFFF"/>
        </w:rPr>
        <w:t xml:space="preserve"> </w:t>
      </w:r>
    </w:p>
    <w:p w14:paraId="05A84B4A" w14:textId="77777777" w:rsidR="00AD5846" w:rsidRPr="00D55C12" w:rsidRDefault="00AD5846" w:rsidP="00AD5846">
      <w:pPr>
        <w:pStyle w:val="BodyText"/>
        <w:widowControl/>
        <w:tabs>
          <w:tab w:val="left" w:pos="705"/>
        </w:tabs>
        <w:spacing w:line="276" w:lineRule="auto"/>
        <w:jc w:val="left"/>
        <w:rPr>
          <w:rFonts w:ascii="Arial" w:hAnsi="Arial" w:cs="Arial"/>
          <w:szCs w:val="24"/>
          <w:u w:val="none"/>
        </w:rPr>
      </w:pPr>
    </w:p>
    <w:p w14:paraId="245D05C4" w14:textId="77777777" w:rsidR="00AD5846" w:rsidRPr="00D55C12" w:rsidRDefault="00AD5846" w:rsidP="00AD5846">
      <w:pPr>
        <w:pStyle w:val="BodyText"/>
        <w:widowControl/>
        <w:tabs>
          <w:tab w:val="left" w:pos="705"/>
        </w:tabs>
        <w:spacing w:line="276" w:lineRule="auto"/>
        <w:jc w:val="left"/>
        <w:rPr>
          <w:rFonts w:ascii="Arial" w:hAnsi="Arial" w:cs="Arial"/>
          <w:szCs w:val="24"/>
          <w:u w:val="none"/>
        </w:rPr>
      </w:pPr>
      <w:r w:rsidRPr="00D55C12">
        <w:rPr>
          <w:rFonts w:ascii="Arial" w:hAnsi="Arial" w:cs="Arial"/>
          <w:szCs w:val="24"/>
          <w:u w:val="none"/>
        </w:rPr>
        <w:t xml:space="preserve">Information on rights and permissions can be found on the publisher’s website: </w:t>
      </w:r>
      <w:hyperlink r:id="rId10" w:history="1">
        <w:r w:rsidRPr="00D55C12">
          <w:rPr>
            <w:rStyle w:val="Hyperlink"/>
            <w:rFonts w:ascii="Arial" w:hAnsi="Arial" w:cs="Arial"/>
            <w:szCs w:val="24"/>
          </w:rPr>
          <w:t>https://www.palgrave.com/gp/rights-permissions</w:t>
        </w:r>
      </w:hyperlink>
      <w:r w:rsidRPr="00D55C12">
        <w:rPr>
          <w:rFonts w:ascii="Arial" w:hAnsi="Arial" w:cs="Arial"/>
          <w:szCs w:val="24"/>
          <w:u w:val="none"/>
        </w:rPr>
        <w:t xml:space="preserve"> </w:t>
      </w:r>
    </w:p>
    <w:p w14:paraId="7AA68C57" w14:textId="1FB2E64E" w:rsidR="00AD5846" w:rsidRDefault="00AD5846">
      <w:pPr>
        <w:rPr>
          <w:b/>
          <w:u w:val="single"/>
        </w:rPr>
      </w:pPr>
    </w:p>
    <w:p w14:paraId="333A47F2" w14:textId="77777777" w:rsidR="00AD5846" w:rsidRDefault="00AD5846" w:rsidP="006067C1">
      <w:pPr>
        <w:jc w:val="center"/>
        <w:rPr>
          <w:b/>
          <w:u w:val="single"/>
        </w:rPr>
      </w:pPr>
    </w:p>
    <w:p w14:paraId="7F6A9B0C" w14:textId="77777777" w:rsidR="00AD5846" w:rsidRDefault="00AD5846" w:rsidP="006067C1">
      <w:pPr>
        <w:jc w:val="center"/>
        <w:rPr>
          <w:b/>
          <w:u w:val="single"/>
        </w:rPr>
      </w:pPr>
    </w:p>
    <w:p w14:paraId="06579034" w14:textId="77777777" w:rsidR="00AD5846" w:rsidRDefault="00AD5846" w:rsidP="006067C1">
      <w:pPr>
        <w:jc w:val="center"/>
        <w:rPr>
          <w:b/>
          <w:u w:val="single"/>
        </w:rPr>
      </w:pPr>
    </w:p>
    <w:p w14:paraId="0C64DCEB" w14:textId="77777777" w:rsidR="00AD5846" w:rsidRDefault="00AD5846" w:rsidP="006067C1">
      <w:pPr>
        <w:jc w:val="center"/>
        <w:rPr>
          <w:b/>
          <w:u w:val="single"/>
        </w:rPr>
      </w:pPr>
    </w:p>
    <w:p w14:paraId="6F49E4DA" w14:textId="77777777" w:rsidR="00AD5846" w:rsidRDefault="00AD5846" w:rsidP="006067C1">
      <w:pPr>
        <w:jc w:val="center"/>
        <w:rPr>
          <w:b/>
          <w:u w:val="single"/>
        </w:rPr>
      </w:pPr>
    </w:p>
    <w:p w14:paraId="4C5EDE86" w14:textId="77777777" w:rsidR="00AD5846" w:rsidRDefault="00AD5846" w:rsidP="006067C1">
      <w:pPr>
        <w:jc w:val="center"/>
        <w:rPr>
          <w:b/>
          <w:u w:val="single"/>
        </w:rPr>
      </w:pPr>
    </w:p>
    <w:p w14:paraId="7B29B6D2" w14:textId="77777777" w:rsidR="00AD5846" w:rsidRDefault="00AD5846" w:rsidP="006067C1">
      <w:pPr>
        <w:jc w:val="center"/>
        <w:rPr>
          <w:b/>
          <w:u w:val="single"/>
        </w:rPr>
      </w:pPr>
    </w:p>
    <w:p w14:paraId="5CAB37BA" w14:textId="77777777" w:rsidR="00AD5846" w:rsidRDefault="00AD5846" w:rsidP="006067C1">
      <w:pPr>
        <w:jc w:val="center"/>
        <w:rPr>
          <w:b/>
          <w:u w:val="single"/>
        </w:rPr>
      </w:pPr>
    </w:p>
    <w:p w14:paraId="3946FC38" w14:textId="77777777" w:rsidR="00AD5846" w:rsidRDefault="00AD5846" w:rsidP="006067C1">
      <w:pPr>
        <w:jc w:val="center"/>
        <w:rPr>
          <w:b/>
          <w:u w:val="single"/>
        </w:rPr>
      </w:pPr>
    </w:p>
    <w:p w14:paraId="7E0F1B82" w14:textId="77777777" w:rsidR="00AD5846" w:rsidRDefault="00AD5846" w:rsidP="006067C1">
      <w:pPr>
        <w:jc w:val="center"/>
        <w:rPr>
          <w:b/>
          <w:u w:val="single"/>
        </w:rPr>
      </w:pPr>
    </w:p>
    <w:p w14:paraId="0FB79B89" w14:textId="77777777" w:rsidR="00AD5846" w:rsidRDefault="00AD5846" w:rsidP="006067C1">
      <w:pPr>
        <w:jc w:val="center"/>
        <w:rPr>
          <w:b/>
          <w:u w:val="single"/>
        </w:rPr>
      </w:pPr>
    </w:p>
    <w:p w14:paraId="70E0E945" w14:textId="77777777" w:rsidR="00AD5846" w:rsidRDefault="00AD5846" w:rsidP="006067C1">
      <w:pPr>
        <w:jc w:val="center"/>
        <w:rPr>
          <w:b/>
          <w:u w:val="single"/>
        </w:rPr>
      </w:pPr>
    </w:p>
    <w:p w14:paraId="6932419D" w14:textId="77777777" w:rsidR="00AD5846" w:rsidRDefault="00AD5846" w:rsidP="006067C1">
      <w:pPr>
        <w:jc w:val="center"/>
        <w:rPr>
          <w:b/>
          <w:u w:val="single"/>
        </w:rPr>
      </w:pPr>
    </w:p>
    <w:p w14:paraId="109E3A76" w14:textId="77777777" w:rsidR="00AD5846" w:rsidRDefault="00AD5846" w:rsidP="006067C1">
      <w:pPr>
        <w:jc w:val="center"/>
        <w:rPr>
          <w:b/>
          <w:u w:val="single"/>
        </w:rPr>
      </w:pPr>
    </w:p>
    <w:p w14:paraId="1CEACC8E" w14:textId="77777777" w:rsidR="00AD5846" w:rsidRDefault="00AD5846" w:rsidP="006067C1">
      <w:pPr>
        <w:jc w:val="center"/>
        <w:rPr>
          <w:b/>
          <w:u w:val="single"/>
        </w:rPr>
      </w:pPr>
    </w:p>
    <w:p w14:paraId="437A08A8" w14:textId="77777777" w:rsidR="00AD5846" w:rsidRDefault="00AD5846" w:rsidP="006067C1">
      <w:pPr>
        <w:jc w:val="center"/>
        <w:rPr>
          <w:b/>
          <w:u w:val="single"/>
        </w:rPr>
      </w:pPr>
    </w:p>
    <w:p w14:paraId="269DBE11" w14:textId="77777777" w:rsidR="00AD5846" w:rsidRDefault="00AD5846" w:rsidP="006067C1">
      <w:pPr>
        <w:jc w:val="center"/>
        <w:rPr>
          <w:b/>
          <w:u w:val="single"/>
        </w:rPr>
      </w:pPr>
    </w:p>
    <w:p w14:paraId="3EB38C1D" w14:textId="77777777" w:rsidR="00AD5846" w:rsidRDefault="00AD5846" w:rsidP="006067C1">
      <w:pPr>
        <w:jc w:val="center"/>
        <w:rPr>
          <w:b/>
          <w:u w:val="single"/>
        </w:rPr>
      </w:pPr>
    </w:p>
    <w:p w14:paraId="3971DDB0" w14:textId="77777777" w:rsidR="00AD5846" w:rsidRDefault="00AD5846" w:rsidP="006067C1">
      <w:pPr>
        <w:jc w:val="center"/>
        <w:rPr>
          <w:b/>
          <w:u w:val="single"/>
        </w:rPr>
      </w:pPr>
    </w:p>
    <w:p w14:paraId="57C92577" w14:textId="77777777" w:rsidR="00AD5846" w:rsidRDefault="00AD5846" w:rsidP="006067C1">
      <w:pPr>
        <w:jc w:val="center"/>
        <w:rPr>
          <w:b/>
          <w:u w:val="single"/>
        </w:rPr>
      </w:pPr>
    </w:p>
    <w:p w14:paraId="0CB015BB" w14:textId="77777777" w:rsidR="00AD5846" w:rsidRDefault="00AD5846" w:rsidP="006067C1">
      <w:pPr>
        <w:jc w:val="center"/>
        <w:rPr>
          <w:b/>
          <w:u w:val="single"/>
        </w:rPr>
      </w:pPr>
    </w:p>
    <w:p w14:paraId="24E002AA" w14:textId="77777777" w:rsidR="00AD5846" w:rsidRDefault="00AD5846" w:rsidP="006067C1">
      <w:pPr>
        <w:jc w:val="center"/>
        <w:rPr>
          <w:b/>
          <w:u w:val="single"/>
        </w:rPr>
      </w:pPr>
    </w:p>
    <w:p w14:paraId="78032330" w14:textId="77777777" w:rsidR="00AD5846" w:rsidRDefault="00AD5846" w:rsidP="006067C1">
      <w:pPr>
        <w:jc w:val="center"/>
        <w:rPr>
          <w:b/>
          <w:u w:val="single"/>
        </w:rPr>
      </w:pPr>
    </w:p>
    <w:p w14:paraId="0CB4EBCA" w14:textId="40D2F4B9" w:rsidR="00B815C6" w:rsidRDefault="006067C1" w:rsidP="006067C1">
      <w:pPr>
        <w:jc w:val="center"/>
        <w:rPr>
          <w:b/>
          <w:u w:val="single"/>
        </w:rPr>
      </w:pPr>
      <w:r>
        <w:rPr>
          <w:b/>
          <w:u w:val="single"/>
        </w:rPr>
        <w:lastRenderedPageBreak/>
        <w:t>Introduction</w:t>
      </w:r>
    </w:p>
    <w:p w14:paraId="13C6687F" w14:textId="77777777" w:rsidR="0043253A" w:rsidRDefault="0043253A" w:rsidP="00F07DD0">
      <w:pPr>
        <w:jc w:val="both"/>
      </w:pPr>
    </w:p>
    <w:p w14:paraId="3DA387E2" w14:textId="77777777" w:rsidR="00F07DD0" w:rsidRDefault="00F07DD0" w:rsidP="00F07DD0">
      <w:pPr>
        <w:ind w:left="720"/>
        <w:jc w:val="both"/>
      </w:pPr>
      <w:r>
        <w:t xml:space="preserve">John by the </w:t>
      </w:r>
      <w:r w:rsidR="00A76B23">
        <w:t>g</w:t>
      </w:r>
      <w:r>
        <w:t>race of God</w:t>
      </w:r>
      <w:r w:rsidR="00A76B23">
        <w:t>,</w:t>
      </w:r>
      <w:r>
        <w:t xml:space="preserve"> king of England, lord of Ireland, duke of Normandy and Aquitaine, count of Anjou, to his archbis</w:t>
      </w:r>
      <w:r w:rsidR="00A76B23">
        <w:t>h</w:t>
      </w:r>
      <w:r>
        <w:t>ops, bishops, abbots, earls, barons, justices, foresters, sheriffs, reeves, ministers and all his bailiffs and faithful men, greeting …</w:t>
      </w:r>
    </w:p>
    <w:p w14:paraId="45A0C856" w14:textId="77777777" w:rsidR="00F07DD0" w:rsidRPr="00F07DD0" w:rsidRDefault="00F07DD0" w:rsidP="00F07DD0">
      <w:pPr>
        <w:ind w:left="720"/>
        <w:jc w:val="right"/>
        <w:rPr>
          <w:b/>
          <w:i/>
        </w:rPr>
      </w:pPr>
      <w:r>
        <w:rPr>
          <w:b/>
          <w:i/>
        </w:rPr>
        <w:t xml:space="preserve">Magna Carta </w:t>
      </w:r>
      <w:r w:rsidR="00A5355B">
        <w:rPr>
          <w:b/>
          <w:i/>
        </w:rPr>
        <w:t>1</w:t>
      </w:r>
      <w:r>
        <w:rPr>
          <w:b/>
          <w:i/>
        </w:rPr>
        <w:t>215</w:t>
      </w:r>
    </w:p>
    <w:p w14:paraId="44325FE9" w14:textId="77777777" w:rsidR="00B3038F" w:rsidRDefault="00B3038F" w:rsidP="006B5FCF">
      <w:pPr>
        <w:spacing w:line="276" w:lineRule="auto"/>
        <w:jc w:val="both"/>
      </w:pPr>
    </w:p>
    <w:p w14:paraId="5B965139" w14:textId="77777777" w:rsidR="00A56B71" w:rsidRPr="00A56B71" w:rsidRDefault="00A56B71" w:rsidP="006B5FCF">
      <w:pPr>
        <w:spacing w:line="276" w:lineRule="auto"/>
        <w:jc w:val="both"/>
        <w:rPr>
          <w:u w:val="single"/>
        </w:rPr>
      </w:pPr>
      <w:r w:rsidRPr="00A56B71">
        <w:rPr>
          <w:u w:val="single"/>
        </w:rPr>
        <w:t>Magna Carta In</w:t>
      </w:r>
      <w:r w:rsidR="00BB0AE9">
        <w:rPr>
          <w:u w:val="single"/>
        </w:rPr>
        <w:t>i</w:t>
      </w:r>
      <w:r w:rsidRPr="00A56B71">
        <w:rPr>
          <w:u w:val="single"/>
        </w:rPr>
        <w:t>tiated</w:t>
      </w:r>
    </w:p>
    <w:p w14:paraId="30B6E0E8" w14:textId="77777777" w:rsidR="00815ADD" w:rsidRDefault="0043253A" w:rsidP="006B5FCF">
      <w:pPr>
        <w:spacing w:line="276" w:lineRule="auto"/>
        <w:jc w:val="both"/>
      </w:pPr>
      <w:r>
        <w:t>Magna Carta is generally seen as a statement of rights. A</w:t>
      </w:r>
      <w:r w:rsidR="000B478C">
        <w:t xml:space="preserve"> </w:t>
      </w:r>
      <w:r>
        <w:t>treaty between</w:t>
      </w:r>
      <w:r w:rsidR="00B3038F">
        <w:t xml:space="preserve"> k</w:t>
      </w:r>
      <w:r>
        <w:t xml:space="preserve">ing and </w:t>
      </w:r>
      <w:r w:rsidR="00B3038F">
        <w:t>b</w:t>
      </w:r>
      <w:r>
        <w:t xml:space="preserve">arons, its provisions </w:t>
      </w:r>
      <w:r w:rsidR="0033445F">
        <w:t xml:space="preserve">are often </w:t>
      </w:r>
      <w:r w:rsidR="000B478C">
        <w:t xml:space="preserve">claimed to </w:t>
      </w:r>
      <w:r>
        <w:t>extend rights and freedoms to ‘ordinary’ British subjects</w:t>
      </w:r>
      <w:r w:rsidR="00434861">
        <w:t>.</w:t>
      </w:r>
      <w:r>
        <w:t xml:space="preserve"> </w:t>
      </w:r>
      <w:r w:rsidR="00A5355B">
        <w:t xml:space="preserve">In 1215 when it was signed at Runnymede the barons </w:t>
      </w:r>
      <w:r w:rsidR="000F3E31">
        <w:t>had no concept of ‘equal rights for all’</w:t>
      </w:r>
      <w:r w:rsidR="00434861">
        <w:t xml:space="preserve">;  there </w:t>
      </w:r>
      <w:r w:rsidR="006D72D8">
        <w:t>was no</w:t>
      </w:r>
      <w:r w:rsidR="00434861">
        <w:t xml:space="preserve"> </w:t>
      </w:r>
      <w:r w:rsidR="007F6398">
        <w:t xml:space="preserve">desire to include </w:t>
      </w:r>
      <w:r w:rsidR="000F3E31">
        <w:t>the masses. The</w:t>
      </w:r>
      <w:r w:rsidR="00434861">
        <w:t xml:space="preserve"> barons’ </w:t>
      </w:r>
      <w:r w:rsidR="000F3E31">
        <w:t xml:space="preserve">intentions were twofold. Magna Carta was designed </w:t>
      </w:r>
      <w:r w:rsidR="00A5355B">
        <w:t>to curb King John’s excesses</w:t>
      </w:r>
      <w:r w:rsidR="00BB0AE9">
        <w:t xml:space="preserve"> toward them and theirs</w:t>
      </w:r>
      <w:r w:rsidR="000F3E31">
        <w:t xml:space="preserve">: </w:t>
      </w:r>
      <w:r w:rsidR="00434861">
        <w:t xml:space="preserve">amongst others, </w:t>
      </w:r>
      <w:r w:rsidR="000F3E31">
        <w:t>c</w:t>
      </w:r>
      <w:r w:rsidR="00A5355B">
        <w:t>lauses limit</w:t>
      </w:r>
      <w:r w:rsidR="000F3E31">
        <w:t>ed</w:t>
      </w:r>
      <w:r w:rsidR="00A5355B">
        <w:t xml:space="preserve"> his power to extract taxes and other emoluments, </w:t>
      </w:r>
      <w:r w:rsidR="00CA0403">
        <w:t>reduc</w:t>
      </w:r>
      <w:r w:rsidR="000F3E31">
        <w:t>ed</w:t>
      </w:r>
      <w:r w:rsidR="00CA0403">
        <w:t xml:space="preserve"> his prerogative to determine when and whom wards and widows might marry, and deni</w:t>
      </w:r>
      <w:r w:rsidR="000F3E31">
        <w:t>ed</w:t>
      </w:r>
      <w:r w:rsidR="00CA0403">
        <w:t xml:space="preserve"> his right to control absolutely the r</w:t>
      </w:r>
      <w:r w:rsidR="000F3E31">
        <w:t>oyal r</w:t>
      </w:r>
      <w:r w:rsidR="00CA0403">
        <w:t xml:space="preserve">ivers and forests. </w:t>
      </w:r>
      <w:r w:rsidR="00BB0AE9">
        <w:t>Equally or e</w:t>
      </w:r>
      <w:r w:rsidR="000F3E31">
        <w:t xml:space="preserve">ven more significantly, </w:t>
      </w:r>
      <w:r w:rsidR="00BB0AE9">
        <w:t xml:space="preserve">the treaty </w:t>
      </w:r>
      <w:r w:rsidR="00CA0403">
        <w:t>establish</w:t>
      </w:r>
      <w:r w:rsidR="000F3E31">
        <w:t>ed</w:t>
      </w:r>
      <w:r w:rsidR="00CA0403">
        <w:t xml:space="preserve"> a council of twenty-five, chosen by and from the barons, to ensure the king</w:t>
      </w:r>
      <w:r w:rsidR="00434861">
        <w:t>’s compliance</w:t>
      </w:r>
      <w:r w:rsidR="00CA0403">
        <w:t>. The Council of Barons would ‘with all their might … observe, maintain and cause to be observed’ the ‘peace and liberties’ confir</w:t>
      </w:r>
      <w:r w:rsidR="00815ADD">
        <w:t>med and granted by Magna Carta, whilst ‘anyone in the realm’ could</w:t>
      </w:r>
      <w:r w:rsidR="00434861">
        <w:t xml:space="preserve"> </w:t>
      </w:r>
      <w:r w:rsidR="00815ADD">
        <w:t>‘tak</w:t>
      </w:r>
      <w:r w:rsidR="00434861">
        <w:t>e</w:t>
      </w:r>
      <w:r w:rsidR="00815ADD">
        <w:t xml:space="preserve"> an oath to obey the orders of the twenty-five barons’ in en</w:t>
      </w:r>
      <w:r w:rsidR="000F3E31">
        <w:t xml:space="preserve">forcing </w:t>
      </w:r>
      <w:r w:rsidR="00815ADD">
        <w:t>it.</w:t>
      </w:r>
    </w:p>
    <w:p w14:paraId="72DEFF04" w14:textId="77777777" w:rsidR="00BF603B" w:rsidRDefault="00BF603B" w:rsidP="006B5FCF">
      <w:pPr>
        <w:spacing w:line="276" w:lineRule="auto"/>
        <w:jc w:val="both"/>
      </w:pPr>
      <w:r>
        <w:t xml:space="preserve">Thus, at its heart, Magna Carta </w:t>
      </w:r>
      <w:r w:rsidR="00434861">
        <w:t>meant n</w:t>
      </w:r>
      <w:r>
        <w:t xml:space="preserve">o longer would the monarch exercise independent and complete power over the kingdom. Rather, King John (and, as intended, his successors) would be obliged not only to comply with </w:t>
      </w:r>
      <w:r w:rsidR="00412E09">
        <w:t>its provisions</w:t>
      </w:r>
      <w:r>
        <w:t xml:space="preserve">, but to </w:t>
      </w:r>
      <w:r w:rsidR="00A924FA">
        <w:t xml:space="preserve">follow </w:t>
      </w:r>
      <w:r>
        <w:t>the barons’ interpretation of them</w:t>
      </w:r>
      <w:r w:rsidR="00434861">
        <w:t xml:space="preserve">, submitting </w:t>
      </w:r>
      <w:r w:rsidR="00A924FA">
        <w:t xml:space="preserve">to </w:t>
      </w:r>
      <w:r>
        <w:t xml:space="preserve">their final ‘say’ </w:t>
      </w:r>
      <w:r w:rsidR="000F3E31">
        <w:t xml:space="preserve">on </w:t>
      </w:r>
      <w:r>
        <w:t>whether or not he strayed</w:t>
      </w:r>
      <w:r w:rsidR="00412E09">
        <w:t xml:space="preserve"> or disobeyed</w:t>
      </w:r>
      <w:r>
        <w:t>.</w:t>
      </w:r>
      <w:r w:rsidR="00075287">
        <w:t xml:space="preserve"> </w:t>
      </w:r>
      <w:r w:rsidR="00952997">
        <w:t>The king would not be above the law.</w:t>
      </w:r>
    </w:p>
    <w:p w14:paraId="6FEA3B61" w14:textId="77777777" w:rsidR="00360708" w:rsidRDefault="00BC2744" w:rsidP="00BF4581">
      <w:pPr>
        <w:spacing w:line="276" w:lineRule="auto"/>
        <w:jc w:val="both"/>
      </w:pPr>
      <w:r>
        <w:t>It was not as if kings had never signed</w:t>
      </w:r>
      <w:r w:rsidR="00952997">
        <w:t xml:space="preserve"> </w:t>
      </w:r>
      <w:r>
        <w:t>agreements with nobles before. John’s father, Henry II</w:t>
      </w:r>
      <w:r w:rsidR="00434861">
        <w:t xml:space="preserve">, did </w:t>
      </w:r>
      <w:r>
        <w:t xml:space="preserve">so. Yet there </w:t>
      </w:r>
      <w:r w:rsidR="000F3E31">
        <w:t xml:space="preserve">was </w:t>
      </w:r>
      <w:r>
        <w:t xml:space="preserve">no suggestion that </w:t>
      </w:r>
      <w:r w:rsidR="00412E09">
        <w:t>King Henry r</w:t>
      </w:r>
      <w:r>
        <w:t xml:space="preserve">uled at their behest. As it was, </w:t>
      </w:r>
      <w:r w:rsidR="00075287">
        <w:t xml:space="preserve">John was never expected to </w:t>
      </w:r>
      <w:r>
        <w:t>rule. Of the eight children Henry and E</w:t>
      </w:r>
      <w:r w:rsidR="00A924FA">
        <w:t>leanor of Aquitaine</w:t>
      </w:r>
      <w:r w:rsidR="000F3E31">
        <w:t xml:space="preserve"> produced</w:t>
      </w:r>
      <w:r w:rsidR="00A924FA">
        <w:t>, Wil</w:t>
      </w:r>
      <w:r>
        <w:t>l</w:t>
      </w:r>
      <w:r w:rsidR="00A924FA">
        <w:t xml:space="preserve">iam died early, leaving </w:t>
      </w:r>
      <w:r w:rsidR="00412E09">
        <w:t xml:space="preserve">next-in-line </w:t>
      </w:r>
      <w:r w:rsidR="00A924FA">
        <w:t>H</w:t>
      </w:r>
      <w:r>
        <w:t>e</w:t>
      </w:r>
      <w:r w:rsidR="00A924FA">
        <w:t xml:space="preserve">nry as </w:t>
      </w:r>
      <w:r w:rsidR="000F3E31">
        <w:t xml:space="preserve">heir. </w:t>
      </w:r>
      <w:r w:rsidR="00952997">
        <w:t>H</w:t>
      </w:r>
      <w:r w:rsidR="00A924FA">
        <w:t>e</w:t>
      </w:r>
      <w:r w:rsidR="00952997">
        <w:t>nry</w:t>
      </w:r>
      <w:r w:rsidR="00A924FA">
        <w:t xml:space="preserve"> died just short of thirty</w:t>
      </w:r>
      <w:r w:rsidR="00952997">
        <w:t xml:space="preserve">. </w:t>
      </w:r>
      <w:r w:rsidR="00412E09">
        <w:t xml:space="preserve">Matilda, being a woman, was automatically ‘out’. </w:t>
      </w:r>
      <w:r w:rsidR="003362F3">
        <w:t xml:space="preserve">Next, </w:t>
      </w:r>
      <w:r w:rsidR="00952997">
        <w:t xml:space="preserve">Geoffrey died, so </w:t>
      </w:r>
      <w:r w:rsidR="00412E09">
        <w:t>upon Henry II’s de</w:t>
      </w:r>
      <w:r w:rsidR="00360708">
        <w:t>mise</w:t>
      </w:r>
      <w:r w:rsidR="00412E09">
        <w:t xml:space="preserve">, </w:t>
      </w:r>
      <w:r w:rsidR="00952997">
        <w:t xml:space="preserve">in 1189 </w:t>
      </w:r>
      <w:r w:rsidR="00A924FA">
        <w:t>Richard</w:t>
      </w:r>
      <w:r>
        <w:t xml:space="preserve"> </w:t>
      </w:r>
      <w:r w:rsidR="00434861">
        <w:t>succeeded him</w:t>
      </w:r>
      <w:r>
        <w:t xml:space="preserve">. </w:t>
      </w:r>
      <w:r w:rsidR="000F3E31">
        <w:t xml:space="preserve">Ten years on, Richard’s </w:t>
      </w:r>
      <w:r w:rsidR="00434861">
        <w:t>unexpected death meant John reigned</w:t>
      </w:r>
      <w:r>
        <w:t>.</w:t>
      </w:r>
      <w:r w:rsidR="00903C95">
        <w:t xml:space="preserve"> </w:t>
      </w:r>
    </w:p>
    <w:p w14:paraId="07F4ED0E" w14:textId="77777777" w:rsidR="00291031" w:rsidRDefault="00903C95" w:rsidP="00BF4581">
      <w:pPr>
        <w:spacing w:line="276" w:lineRule="auto"/>
        <w:jc w:val="both"/>
      </w:pPr>
      <w:r>
        <w:t>‘J</w:t>
      </w:r>
      <w:r w:rsidR="00C51C6F">
        <w:t xml:space="preserve">ohn the Tyrant’ </w:t>
      </w:r>
      <w:r>
        <w:t xml:space="preserve">generated such unrest, bitterness and resentment, that barons rebelled. </w:t>
      </w:r>
      <w:r w:rsidR="00412E09">
        <w:t>Albeit successful in</w:t>
      </w:r>
      <w:r w:rsidR="00C51C6F">
        <w:t xml:space="preserve"> securing his signature to Magna Carta,</w:t>
      </w:r>
      <w:r w:rsidR="00412E09">
        <w:t xml:space="preserve"> they were wary of his readiness to comply</w:t>
      </w:r>
      <w:r w:rsidR="00C51C6F">
        <w:t>.</w:t>
      </w:r>
      <w:r w:rsidR="00412E09">
        <w:t xml:space="preserve"> Nor, indeed, should a king be a law unto himself. Fifteen years of his rule had precipitated them into thoughts of shared</w:t>
      </w:r>
      <w:r w:rsidR="00C51C6F">
        <w:t xml:space="preserve"> c</w:t>
      </w:r>
      <w:r w:rsidR="00291031">
        <w:t xml:space="preserve">ontrol. Thoughts transformed into action. </w:t>
      </w:r>
      <w:r>
        <w:t xml:space="preserve">Hence, their insistence that twenty-five would serve as a permanent </w:t>
      </w:r>
      <w:r w:rsidR="00661D0C">
        <w:t>imperial ‘</w:t>
      </w:r>
      <w:r>
        <w:t>directorate’</w:t>
      </w:r>
      <w:r w:rsidR="00661D0C">
        <w:t>.</w:t>
      </w:r>
      <w:r w:rsidR="00291031">
        <w:t xml:space="preserve"> </w:t>
      </w:r>
      <w:r w:rsidR="00C51C6F">
        <w:t>All twenty-five were men</w:t>
      </w:r>
      <w:r w:rsidR="00661D0C">
        <w:t xml:space="preserve">. </w:t>
      </w:r>
    </w:p>
    <w:p w14:paraId="5A36EC74" w14:textId="77777777" w:rsidR="00C56A3A" w:rsidRDefault="00D31D14" w:rsidP="006B5FCF">
      <w:pPr>
        <w:spacing w:line="276" w:lineRule="auto"/>
        <w:jc w:val="both"/>
      </w:pPr>
      <w:r>
        <w:t>In Magna Carta, n</w:t>
      </w:r>
      <w:r w:rsidR="00661D0C">
        <w:t>o</w:t>
      </w:r>
      <w:r w:rsidR="00903C95">
        <w:t xml:space="preserve">t </w:t>
      </w:r>
      <w:r w:rsidR="00EE3B52">
        <w:t>a single woman’s name appears. Women are mentioned, but through their relationships with men, as with</w:t>
      </w:r>
      <w:r w:rsidR="00E1273B">
        <w:t xml:space="preserve"> heiresses, wards or widows and</w:t>
      </w:r>
      <w:r w:rsidR="00C51C6F">
        <w:t xml:space="preserve"> </w:t>
      </w:r>
      <w:r w:rsidR="00EE3B52">
        <w:t xml:space="preserve">the </w:t>
      </w:r>
      <w:r w:rsidR="00C51C6F">
        <w:t>Scots’ king’s daughters – John’s hostages</w:t>
      </w:r>
      <w:r w:rsidR="00EE3B52">
        <w:t>.</w:t>
      </w:r>
      <w:r w:rsidR="00A110D1">
        <w:t xml:space="preserve"> W</w:t>
      </w:r>
      <w:r w:rsidR="00BF4581">
        <w:t xml:space="preserve">omen were classed </w:t>
      </w:r>
      <w:r w:rsidR="00952997">
        <w:t>by</w:t>
      </w:r>
      <w:r w:rsidR="00EA77FF">
        <w:t xml:space="preserve"> </w:t>
      </w:r>
      <w:r w:rsidR="00952997">
        <w:t xml:space="preserve">sexual status. As Henrietta Leyser’s </w:t>
      </w:r>
      <w:r w:rsidR="00BF4581">
        <w:rPr>
          <w:i/>
        </w:rPr>
        <w:t>Medieval Women</w:t>
      </w:r>
      <w:r w:rsidR="00BF4581">
        <w:t xml:space="preserve"> … </w:t>
      </w:r>
      <w:r w:rsidR="00952997">
        <w:t xml:space="preserve">notes, </w:t>
      </w:r>
      <w:r w:rsidR="00BF4581">
        <w:t>men could be considered collectively ‘as knights, merchants, crusaders’</w:t>
      </w:r>
      <w:r w:rsidR="00473310">
        <w:t>. W</w:t>
      </w:r>
      <w:r w:rsidR="00BF4581">
        <w:t>omen were ‘virgins, wives or widows [and] mothers’.</w:t>
      </w:r>
      <w:r w:rsidR="00BF4581">
        <w:rPr>
          <w:rStyle w:val="EndnoteReference"/>
        </w:rPr>
        <w:endnoteReference w:id="1"/>
      </w:r>
      <w:r w:rsidR="00EA77FF">
        <w:t xml:space="preserve"> </w:t>
      </w:r>
      <w:r w:rsidR="00EE3B52">
        <w:t xml:space="preserve">None was an archbishop, bishop, abbot, earl, baron, justice, forester, sheriff, </w:t>
      </w:r>
      <w:r w:rsidR="00EE3B52">
        <w:lastRenderedPageBreak/>
        <w:t xml:space="preserve">reeve, minister, bailiff or ‘faithful man’. </w:t>
      </w:r>
      <w:r w:rsidR="001C2303">
        <w:t>Although</w:t>
      </w:r>
      <w:r w:rsidR="00291031">
        <w:t>,</w:t>
      </w:r>
      <w:r w:rsidR="001C2303">
        <w:t xml:space="preserve"> </w:t>
      </w:r>
      <w:r w:rsidR="00952997">
        <w:t xml:space="preserve">as Louise Wilkinson recounts </w:t>
      </w:r>
      <w:r w:rsidR="00291031">
        <w:t xml:space="preserve">in </w:t>
      </w:r>
      <w:r w:rsidR="00291031">
        <w:rPr>
          <w:i/>
        </w:rPr>
        <w:t>Women as Sheriffs …</w:t>
      </w:r>
      <w:r w:rsidR="00291031">
        <w:t>,</w:t>
      </w:r>
      <w:r w:rsidR="00291031">
        <w:rPr>
          <w:i/>
        </w:rPr>
        <w:t xml:space="preserve"> </w:t>
      </w:r>
      <w:r w:rsidR="001C2303">
        <w:t xml:space="preserve">on 18 October </w:t>
      </w:r>
      <w:r w:rsidR="00666B93">
        <w:t>15</w:t>
      </w:r>
      <w:r w:rsidR="001C2303">
        <w:t>16 John appointed a woman, Lady Nicholaa de la Haye (</w:t>
      </w:r>
      <w:r w:rsidR="00952997">
        <w:t>c.</w:t>
      </w:r>
      <w:r w:rsidR="001C2303">
        <w:t>1169-1230) as joint sheriff (with a man) of Lincolnshire and ‘worthy … of God’s protection “in body and soul”’,</w:t>
      </w:r>
      <w:r w:rsidR="001C2303" w:rsidRPr="001C2303">
        <w:rPr>
          <w:rStyle w:val="EndnoteReference"/>
        </w:rPr>
        <w:t xml:space="preserve"> </w:t>
      </w:r>
      <w:r w:rsidR="001C2303">
        <w:rPr>
          <w:rStyle w:val="EndnoteReference"/>
        </w:rPr>
        <w:endnoteReference w:id="2"/>
      </w:r>
      <w:r w:rsidR="001C2303">
        <w:t xml:space="preserve"> she played no part in Magna Carta.</w:t>
      </w:r>
      <w:r w:rsidR="000846CF">
        <w:t xml:space="preserve"> </w:t>
      </w:r>
      <w:r w:rsidR="001C2303">
        <w:t>Nor did any other woman.</w:t>
      </w:r>
      <w:r w:rsidR="00C56A3A">
        <w:t xml:space="preserve"> </w:t>
      </w:r>
    </w:p>
    <w:p w14:paraId="081A0B17" w14:textId="77777777" w:rsidR="0080089B" w:rsidRDefault="00C56A3A" w:rsidP="006B5FCF">
      <w:pPr>
        <w:spacing w:line="276" w:lineRule="auto"/>
        <w:jc w:val="both"/>
      </w:pPr>
      <w:r>
        <w:t>No woman signed.</w:t>
      </w:r>
      <w:r w:rsidR="00670299">
        <w:t xml:space="preserve"> Yet women were not entirely lacking status. </w:t>
      </w:r>
      <w:r w:rsidR="00E32613">
        <w:t xml:space="preserve">Nor were they voiceless. </w:t>
      </w:r>
      <w:r w:rsidR="00F60A55">
        <w:t xml:space="preserve">In the </w:t>
      </w:r>
      <w:r w:rsidR="00F60A55">
        <w:rPr>
          <w:i/>
        </w:rPr>
        <w:t>Time Traveller’s Guide …</w:t>
      </w:r>
      <w:r w:rsidR="00F60A55">
        <w:t xml:space="preserve">, Ian Mortimer </w:t>
      </w:r>
      <w:r w:rsidR="00D15C72">
        <w:t xml:space="preserve">reflects upon </w:t>
      </w:r>
      <w:r w:rsidR="00F60A55">
        <w:t xml:space="preserve">‘high-status females </w:t>
      </w:r>
      <w:r w:rsidR="00D15C72">
        <w:t xml:space="preserve">[being] </w:t>
      </w:r>
      <w:r w:rsidR="00F60A55">
        <w:t>just as highly respected as high-status males’</w:t>
      </w:r>
      <w:r w:rsidR="00D15C72">
        <w:t xml:space="preserve"> (at least, by underlings)</w:t>
      </w:r>
      <w:r w:rsidR="00690FF3">
        <w:t>. Two centuries after Magna Carta, Margery Kempe’s autobiography appeared</w:t>
      </w:r>
      <w:r w:rsidR="006F405B">
        <w:t>. A</w:t>
      </w:r>
      <w:r w:rsidR="0080089B">
        <w:t xml:space="preserve"> century before</w:t>
      </w:r>
      <w:r w:rsidR="006F405B">
        <w:t>,</w:t>
      </w:r>
      <w:r w:rsidR="0080089B">
        <w:t xml:space="preserve"> Hildegard of Bingen preached throughout Europe, travelling from Paris to Switzerland, to southern Germany</w:t>
      </w:r>
      <w:r w:rsidR="001519EC">
        <w:t xml:space="preserve">, </w:t>
      </w:r>
      <w:r w:rsidR="0080089B">
        <w:t>back to France</w:t>
      </w:r>
      <w:r w:rsidR="001519EC">
        <w:t xml:space="preserve"> and around </w:t>
      </w:r>
      <w:r w:rsidR="00473310">
        <w:t>once more</w:t>
      </w:r>
      <w:r w:rsidR="0080089B">
        <w:t xml:space="preserve">. </w:t>
      </w:r>
      <w:r w:rsidR="00473310">
        <w:t>Written versions of her orations were requested by clamorous l</w:t>
      </w:r>
      <w:r w:rsidR="0080089B">
        <w:t>isteners</w:t>
      </w:r>
      <w:r w:rsidR="001519EC">
        <w:t>. Her commanding remonstrations</w:t>
      </w:r>
      <w:r w:rsidR="0080089B">
        <w:t xml:space="preserve"> had the interdict against her convent removed. She wrote to popes, bishops, nuns, emperors and the nobility. Her </w:t>
      </w:r>
      <w:r w:rsidR="001519EC">
        <w:t xml:space="preserve">works included hundreds of </w:t>
      </w:r>
      <w:r w:rsidR="0080089B">
        <w:t xml:space="preserve">letters, songs, poems, </w:t>
      </w:r>
      <w:r w:rsidR="001519EC">
        <w:t xml:space="preserve">books – including discourses on herbal remedies and the workings of the human body, a </w:t>
      </w:r>
      <w:r w:rsidR="0080089B">
        <w:t>commentar</w:t>
      </w:r>
      <w:r w:rsidR="001519EC">
        <w:t>y</w:t>
      </w:r>
      <w:r w:rsidR="0080089B">
        <w:t xml:space="preserve"> on the Gospels and </w:t>
      </w:r>
      <w:r w:rsidR="001519EC">
        <w:t xml:space="preserve">one on </w:t>
      </w:r>
      <w:r w:rsidR="0080089B">
        <w:t>the Athanasian Creed, and a play set to music</w:t>
      </w:r>
      <w:r w:rsidR="001519EC">
        <w:t xml:space="preserve"> – the </w:t>
      </w:r>
      <w:r w:rsidR="001519EC">
        <w:rPr>
          <w:i/>
        </w:rPr>
        <w:t>Ordo Virtutum</w:t>
      </w:r>
      <w:r w:rsidR="007D11AA">
        <w:t>.</w:t>
      </w:r>
      <w:r w:rsidR="00184045">
        <w:t xml:space="preserve"> She exchanged letters with </w:t>
      </w:r>
      <w:r w:rsidR="001A2B71">
        <w:t xml:space="preserve">her friend and rival, </w:t>
      </w:r>
      <w:r w:rsidR="00184045">
        <w:t>Elizabeth of Shonau who</w:t>
      </w:r>
      <w:r w:rsidR="001A2B71">
        <w:t xml:space="preserve"> </w:t>
      </w:r>
      <w:r w:rsidR="00184045">
        <w:t xml:space="preserve">authored three books of </w:t>
      </w:r>
      <w:r w:rsidR="00184045">
        <w:rPr>
          <w:i/>
        </w:rPr>
        <w:t>Visions</w:t>
      </w:r>
      <w:r w:rsidR="006F405B">
        <w:t xml:space="preserve"> (two, perhaps, with her brother Egbert) </w:t>
      </w:r>
      <w:r w:rsidR="001A2B71">
        <w:t xml:space="preserve">and </w:t>
      </w:r>
      <w:r w:rsidR="001A2B71">
        <w:rPr>
          <w:i/>
        </w:rPr>
        <w:t>Liber viarum Die</w:t>
      </w:r>
      <w:r w:rsidR="001A2B71">
        <w:t>, enjoining the clergy and the laity, wed and unwed, to live lives of piety and holiness, without hypocrisy or cant.</w:t>
      </w:r>
      <w:r w:rsidR="007D11AA">
        <w:rPr>
          <w:rStyle w:val="EndnoteReference"/>
        </w:rPr>
        <w:endnoteReference w:id="3"/>
      </w:r>
      <w:r w:rsidR="0080089B">
        <w:t xml:space="preserve"> </w:t>
      </w:r>
    </w:p>
    <w:p w14:paraId="6A2828E0" w14:textId="77777777" w:rsidR="00E44901" w:rsidRDefault="00EA77FF" w:rsidP="006B5FCF">
      <w:pPr>
        <w:spacing w:line="276" w:lineRule="auto"/>
        <w:jc w:val="both"/>
      </w:pPr>
      <w:r>
        <w:t xml:space="preserve">Yet </w:t>
      </w:r>
      <w:r w:rsidR="00690FF3">
        <w:t xml:space="preserve">class </w:t>
      </w:r>
      <w:r w:rsidR="00D15C72">
        <w:t>did n</w:t>
      </w:r>
      <w:r w:rsidR="00473310">
        <w:t xml:space="preserve">ot </w:t>
      </w:r>
      <w:r w:rsidR="00D15C72">
        <w:t xml:space="preserve">inhibit </w:t>
      </w:r>
      <w:r w:rsidR="00473310">
        <w:t>sexual prejudice. M</w:t>
      </w:r>
      <w:r w:rsidR="00FF7435">
        <w:t xml:space="preserve">ortimer’s </w:t>
      </w:r>
      <w:r w:rsidR="00FF7435">
        <w:rPr>
          <w:i/>
        </w:rPr>
        <w:t>Time Traveller’s Guide …</w:t>
      </w:r>
      <w:r w:rsidR="00FF7435">
        <w:t xml:space="preserve"> records m</w:t>
      </w:r>
      <w:r w:rsidR="00473310">
        <w:t>edieval convention h</w:t>
      </w:r>
      <w:r w:rsidR="00FF7435">
        <w:t xml:space="preserve">olding </w:t>
      </w:r>
      <w:r w:rsidR="00473310">
        <w:t>women responsible for all ‘physical, intellectual and moral weaknesses of society’. A contradictory mixture of traits and physical attributes</w:t>
      </w:r>
      <w:r w:rsidR="00B339EC">
        <w:t xml:space="preserve"> asserted</w:t>
      </w:r>
      <w:r w:rsidR="00473310">
        <w:t xml:space="preserve"> women were ‘smaller, meeker, more demure, more gentle, more supple and more delicate’, simultaneously with being ‘more envious and more laughing and loving’, whilst </w:t>
      </w:r>
      <w:r w:rsidR="001A5EA6">
        <w:t>th</w:t>
      </w:r>
      <w:r w:rsidR="00473310">
        <w:t>e soul</w:t>
      </w:r>
      <w:r w:rsidR="001A5EA6">
        <w:t xml:space="preserve">s of women housed malice, more so </w:t>
      </w:r>
      <w:r w:rsidR="00473310">
        <w:t xml:space="preserve">than </w:t>
      </w:r>
      <w:r w:rsidR="001A5EA6">
        <w:t>men</w:t>
      </w:r>
      <w:r w:rsidR="00D15C72">
        <w:t>’s</w:t>
      </w:r>
      <w:r w:rsidR="00473310">
        <w:t xml:space="preserve">. Besides, </w:t>
      </w:r>
      <w:r w:rsidR="006F405B">
        <w:t xml:space="preserve">it was said, </w:t>
      </w:r>
      <w:r w:rsidR="00473310">
        <w:t>women exceed</w:t>
      </w:r>
      <w:r w:rsidR="00E913BC">
        <w:t>ed</w:t>
      </w:r>
      <w:r w:rsidR="00473310">
        <w:t xml:space="preserve"> men in </w:t>
      </w:r>
      <w:r w:rsidR="00D15C72">
        <w:t xml:space="preserve">mendacity and </w:t>
      </w:r>
      <w:r w:rsidR="00473310">
        <w:t>feebleness of nature, working ever in a more tardy fashion and moving always at a pace slower than a man.</w:t>
      </w:r>
      <w:r w:rsidR="00446F62">
        <w:rPr>
          <w:rStyle w:val="EndnoteReference"/>
        </w:rPr>
        <w:endnoteReference w:id="4"/>
      </w:r>
      <w:r w:rsidR="00F83A8B">
        <w:t xml:space="preserve"> </w:t>
      </w:r>
      <w:r w:rsidR="006F405B">
        <w:t>In light of this bigotry, l</w:t>
      </w:r>
      <w:r w:rsidR="00E54795">
        <w:t>ittle wonder women were absent from Magna Carta</w:t>
      </w:r>
      <w:r>
        <w:t xml:space="preserve">’s </w:t>
      </w:r>
      <w:r w:rsidR="00E54795">
        <w:t xml:space="preserve">drafting, negotiation, signing or execution. Yet for all this, </w:t>
      </w:r>
      <w:r w:rsidR="003E357C">
        <w:t xml:space="preserve">could </w:t>
      </w:r>
      <w:r w:rsidR="00F83A8B">
        <w:t xml:space="preserve">Magna Carta </w:t>
      </w:r>
      <w:r w:rsidR="00BA6C88">
        <w:t xml:space="preserve">extend to </w:t>
      </w:r>
      <w:r w:rsidR="00E54795">
        <w:t xml:space="preserve">women? </w:t>
      </w:r>
    </w:p>
    <w:p w14:paraId="21B50A12" w14:textId="77777777" w:rsidR="00E44901" w:rsidRDefault="00F83A8B" w:rsidP="006B5FCF">
      <w:pPr>
        <w:spacing w:line="276" w:lineRule="auto"/>
        <w:jc w:val="both"/>
      </w:pPr>
      <w:r>
        <w:t>I</w:t>
      </w:r>
      <w:r w:rsidR="003E357C">
        <w:t xml:space="preserve">n </w:t>
      </w:r>
      <w:r w:rsidR="003E357C">
        <w:rPr>
          <w:i/>
        </w:rPr>
        <w:t>Magna Carta</w:t>
      </w:r>
      <w:r w:rsidR="003E357C">
        <w:t xml:space="preserve">, </w:t>
      </w:r>
      <w:r>
        <w:t xml:space="preserve">JC Holt denotes </w:t>
      </w:r>
      <w:r w:rsidR="003E357C">
        <w:t>the charter’s ‘greatest and most important characteristic’</w:t>
      </w:r>
      <w:r>
        <w:t xml:space="preserve"> as ‘its adaptability’. </w:t>
      </w:r>
      <w:r w:rsidR="00E44901">
        <w:t>Did this mean Magna Carta supported women claiming legal rights, protections and status, or could it be used to advance them?</w:t>
      </w:r>
    </w:p>
    <w:p w14:paraId="39500F35" w14:textId="77777777" w:rsidR="00123FB7" w:rsidRPr="00123FB7" w:rsidRDefault="00123FB7" w:rsidP="00123FB7">
      <w:pPr>
        <w:jc w:val="both"/>
        <w:rPr>
          <w:u w:val="single"/>
        </w:rPr>
      </w:pPr>
      <w:r w:rsidRPr="00123FB7">
        <w:rPr>
          <w:u w:val="single"/>
        </w:rPr>
        <w:t>Magna Carta, Women, Law &amp; History</w:t>
      </w:r>
    </w:p>
    <w:p w14:paraId="4F6446B6" w14:textId="77777777" w:rsidR="002004B6" w:rsidRDefault="00EA77FF" w:rsidP="006B5FCF">
      <w:pPr>
        <w:spacing w:line="276" w:lineRule="auto"/>
        <w:jc w:val="both"/>
      </w:pPr>
      <w:r>
        <w:t xml:space="preserve">Some six centuries </w:t>
      </w:r>
      <w:r w:rsidR="00821DEB">
        <w:t>after Runnymede</w:t>
      </w:r>
      <w:r>
        <w:t xml:space="preserve">, </w:t>
      </w:r>
      <w:r w:rsidR="00E92843">
        <w:t>M</w:t>
      </w:r>
      <w:r w:rsidR="002004B6">
        <w:t xml:space="preserve">agna Carta’s </w:t>
      </w:r>
      <w:r w:rsidR="00E677C6">
        <w:t xml:space="preserve">exhortations </w:t>
      </w:r>
      <w:r w:rsidR="007C15E7">
        <w:t xml:space="preserve">for </w:t>
      </w:r>
      <w:r w:rsidR="00CB4E9D">
        <w:t xml:space="preserve">freemen’s </w:t>
      </w:r>
      <w:r w:rsidR="00E677C6">
        <w:t>rights resonated with Mary Wollstonecraft and her contemporary, American Joel Barlow:</w:t>
      </w:r>
    </w:p>
    <w:p w14:paraId="54F98184" w14:textId="77777777" w:rsidR="00E677C6" w:rsidRDefault="00E677C6" w:rsidP="00E677C6">
      <w:pPr>
        <w:spacing w:line="276" w:lineRule="auto"/>
        <w:ind w:left="720"/>
        <w:jc w:val="both"/>
      </w:pPr>
      <w:r>
        <w:t>The word ‘liberty’ … would not have been known in any language, had people not felt de</w:t>
      </w:r>
      <w:r w:rsidR="007C15E7">
        <w:t>p</w:t>
      </w:r>
      <w:r>
        <w:t>rived o</w:t>
      </w:r>
      <w:r w:rsidR="007C15E7">
        <w:t>f</w:t>
      </w:r>
      <w:r>
        <w:t xml:space="preserve"> it;  and some are ‘free men’ because ‘men are not all free’.</w:t>
      </w:r>
      <w:r w:rsidR="006B2667">
        <w:rPr>
          <w:rStyle w:val="EndnoteReference"/>
        </w:rPr>
        <w:endnoteReference w:id="5"/>
      </w:r>
    </w:p>
    <w:p w14:paraId="02EA9726" w14:textId="77777777" w:rsidR="00764722" w:rsidRDefault="004911C4" w:rsidP="006B5FCF">
      <w:pPr>
        <w:spacing w:line="276" w:lineRule="auto"/>
        <w:jc w:val="both"/>
      </w:pPr>
      <w:r>
        <w:t>As Wollstonecraft expostulated</w:t>
      </w:r>
      <w:r w:rsidR="008732CB">
        <w:t xml:space="preserve"> in 1792</w:t>
      </w:r>
      <w:r>
        <w:t>, n</w:t>
      </w:r>
      <w:r w:rsidR="00CA2C1A">
        <w:t>either were women ‘all free’</w:t>
      </w:r>
      <w:r w:rsidR="00FF7435">
        <w:t xml:space="preserve">. </w:t>
      </w:r>
      <w:r w:rsidR="00D56B58">
        <w:t>Hence, he</w:t>
      </w:r>
      <w:r w:rsidR="00CB4E9D">
        <w:t xml:space="preserve">r proclamation </w:t>
      </w:r>
      <w:r w:rsidR="00764722">
        <w:t>in</w:t>
      </w:r>
      <w:r w:rsidR="00CB4E9D">
        <w:t xml:space="preserve"> </w:t>
      </w:r>
      <w:r w:rsidR="00D56B58">
        <w:rPr>
          <w:i/>
        </w:rPr>
        <w:t>A Vindication of the Rights of</w:t>
      </w:r>
      <w:r w:rsidR="00981883">
        <w:rPr>
          <w:i/>
        </w:rPr>
        <w:t xml:space="preserve"> Woman</w:t>
      </w:r>
      <w:r w:rsidR="00D56B58">
        <w:t xml:space="preserve">, building on and generating </w:t>
      </w:r>
      <w:r w:rsidR="00CA2C1A">
        <w:t xml:space="preserve">centuries of </w:t>
      </w:r>
      <w:r w:rsidR="00764722">
        <w:t xml:space="preserve">women’s </w:t>
      </w:r>
      <w:r w:rsidR="00CA2C1A">
        <w:t xml:space="preserve">struggle for freedom, for rights as freewomen, </w:t>
      </w:r>
      <w:r w:rsidR="00CB4E9D">
        <w:t xml:space="preserve">and for freedom </w:t>
      </w:r>
      <w:r w:rsidR="00A745A3">
        <w:t>as</w:t>
      </w:r>
      <w:r w:rsidR="00E92843">
        <w:t xml:space="preserve"> persons.</w:t>
      </w:r>
      <w:r w:rsidR="00764722">
        <w:t xml:space="preserve"> </w:t>
      </w:r>
      <w:r w:rsidR="00871A13">
        <w:t xml:space="preserve">Her work resonated beyond the United Kingdom and the United States. It became a rallying cry for women throughout the Empire and thence the Commonwealth. Women from Canada, Australia and Aotearoa/New Zealand initiated their own struggles and interacted across what became national boundaries, and across oceans.  </w:t>
      </w:r>
    </w:p>
    <w:p w14:paraId="7CB53962" w14:textId="77777777" w:rsidR="00EF089C" w:rsidRDefault="00E92843" w:rsidP="006B5FCF">
      <w:pPr>
        <w:spacing w:line="276" w:lineRule="auto"/>
        <w:jc w:val="both"/>
      </w:pPr>
      <w:r>
        <w:lastRenderedPageBreak/>
        <w:t>As c</w:t>
      </w:r>
      <w:r w:rsidR="00A745A3">
        <w:t>hapter 1 ‘Are Women Persons’ recounts</w:t>
      </w:r>
      <w:r>
        <w:t>, t</w:t>
      </w:r>
      <w:r w:rsidR="00801A59">
        <w:t>he</w:t>
      </w:r>
      <w:r w:rsidR="00C70124">
        <w:t xml:space="preserve"> failure to acknowledge women as identities in their own right permeates</w:t>
      </w:r>
      <w:r w:rsidR="00D20F56">
        <w:t xml:space="preserve"> actual </w:t>
      </w:r>
      <w:r w:rsidR="00C70124">
        <w:t xml:space="preserve">history, the writing of history and the recognition that women might make and record history too. </w:t>
      </w:r>
      <w:r w:rsidR="00D20F56">
        <w:t>O</w:t>
      </w:r>
      <w:r w:rsidR="006507BC">
        <w:t>ver the centuries women have recorded their own lives and the lives of other women</w:t>
      </w:r>
      <w:r w:rsidR="00CA2C1A">
        <w:t xml:space="preserve">, </w:t>
      </w:r>
      <w:r w:rsidR="00801A59">
        <w:t xml:space="preserve">yet </w:t>
      </w:r>
      <w:r w:rsidR="006507BC">
        <w:t>male treatises</w:t>
      </w:r>
      <w:r w:rsidR="00EF089C">
        <w:t xml:space="preserve"> a</w:t>
      </w:r>
      <w:r w:rsidR="00801A59">
        <w:t>nd men’s histories a</w:t>
      </w:r>
      <w:r w:rsidR="00EF089C">
        <w:t xml:space="preserve">re </w:t>
      </w:r>
      <w:r w:rsidR="006507BC">
        <w:t xml:space="preserve">more often published and remembered. </w:t>
      </w:r>
      <w:r w:rsidR="00801A59">
        <w:t xml:space="preserve">Women’s </w:t>
      </w:r>
      <w:r w:rsidR="006507BC">
        <w:t>works come to attention, then fade, are sometimes recovered, or</w:t>
      </w:r>
      <w:r w:rsidR="008732CB">
        <w:t xml:space="preserve"> new generations of</w:t>
      </w:r>
      <w:r w:rsidR="006507BC">
        <w:t xml:space="preserve"> women write herstory all over again. </w:t>
      </w:r>
      <w:r w:rsidR="00801A59">
        <w:t>What of women and Magna Carta?</w:t>
      </w:r>
    </w:p>
    <w:p w14:paraId="4F6767BA" w14:textId="77777777" w:rsidR="00EE56DC" w:rsidRDefault="006507BC" w:rsidP="006B5FCF">
      <w:pPr>
        <w:spacing w:line="276" w:lineRule="auto"/>
        <w:jc w:val="both"/>
      </w:pPr>
      <w:r>
        <w:t>It is difficult to unearth women writing of women’s worlds and works at the time of John, Runnymede and Magna Carta</w:t>
      </w:r>
      <w:r w:rsidR="001821CF">
        <w:t xml:space="preserve"> and the </w:t>
      </w:r>
      <w:r w:rsidR="00D20F56">
        <w:t xml:space="preserve">rebellion’s </w:t>
      </w:r>
      <w:r w:rsidR="00402B57">
        <w:t xml:space="preserve">impact </w:t>
      </w:r>
      <w:r w:rsidR="00591F18">
        <w:t>on them</w:t>
      </w:r>
      <w:r>
        <w:t xml:space="preserve">. </w:t>
      </w:r>
      <w:r w:rsidR="00764722">
        <w:t xml:space="preserve">Histories are there – Judith M. Bennett and Ruth Mazo Karras with </w:t>
      </w:r>
      <w:r w:rsidR="00764722">
        <w:rPr>
          <w:i/>
        </w:rPr>
        <w:t xml:space="preserve">The Oxford Handbook of Women and Gender </w:t>
      </w:r>
      <w:r w:rsidR="00CD349B">
        <w:rPr>
          <w:i/>
        </w:rPr>
        <w:t xml:space="preserve">… </w:t>
      </w:r>
      <w:r w:rsidR="007C40F1">
        <w:t>(2013)</w:t>
      </w:r>
      <w:r w:rsidR="00764722">
        <w:t xml:space="preserve">, Vicki Leon’s </w:t>
      </w:r>
      <w:r w:rsidR="00764722">
        <w:rPr>
          <w:i/>
        </w:rPr>
        <w:t xml:space="preserve">Outrageous Women </w:t>
      </w:r>
      <w:r w:rsidR="00CD349B">
        <w:rPr>
          <w:i/>
        </w:rPr>
        <w:t>…</w:t>
      </w:r>
      <w:r w:rsidR="007C40F1">
        <w:rPr>
          <w:i/>
        </w:rPr>
        <w:t xml:space="preserve"> </w:t>
      </w:r>
      <w:r w:rsidR="007C40F1">
        <w:t>(1998)</w:t>
      </w:r>
      <w:r w:rsidR="00764722">
        <w:t xml:space="preserve">, and </w:t>
      </w:r>
      <w:r w:rsidR="00764722" w:rsidRPr="00764722">
        <w:t>Marelle</w:t>
      </w:r>
      <w:r w:rsidR="00764722">
        <w:t xml:space="preserve"> Thebaux’s collection, </w:t>
      </w:r>
      <w:r w:rsidR="002B1746">
        <w:rPr>
          <w:i/>
        </w:rPr>
        <w:t>The W</w:t>
      </w:r>
      <w:r w:rsidR="00764722">
        <w:rPr>
          <w:i/>
        </w:rPr>
        <w:t>ritings of Medi</w:t>
      </w:r>
      <w:r w:rsidR="00360734">
        <w:rPr>
          <w:i/>
        </w:rPr>
        <w:t>e</w:t>
      </w:r>
      <w:r w:rsidR="00764722">
        <w:rPr>
          <w:i/>
        </w:rPr>
        <w:t>val Women</w:t>
      </w:r>
      <w:r w:rsidR="00CD349B">
        <w:rPr>
          <w:i/>
        </w:rPr>
        <w:t xml:space="preserve"> …</w:t>
      </w:r>
      <w:r w:rsidR="007C40F1">
        <w:rPr>
          <w:i/>
        </w:rPr>
        <w:t xml:space="preserve"> </w:t>
      </w:r>
      <w:r w:rsidR="007C40F1">
        <w:t>(1994)</w:t>
      </w:r>
      <w:r w:rsidR="00764722">
        <w:t xml:space="preserve">, </w:t>
      </w:r>
      <w:r w:rsidR="00360734">
        <w:t>showing women did and could write ‘then’.</w:t>
      </w:r>
      <w:r w:rsidR="00A75CCD">
        <w:rPr>
          <w:rStyle w:val="EndnoteReference"/>
        </w:rPr>
        <w:endnoteReference w:id="6"/>
      </w:r>
      <w:r w:rsidR="001821CF">
        <w:t xml:space="preserve"> </w:t>
      </w:r>
      <w:r w:rsidR="00764722">
        <w:t>Magna Carta features by its</w:t>
      </w:r>
      <w:r w:rsidR="00535F72">
        <w:t xml:space="preserve"> very</w:t>
      </w:r>
      <w:r w:rsidR="00A75CCD">
        <w:t xml:space="preserve"> absence</w:t>
      </w:r>
      <w:r w:rsidR="001821CF">
        <w:t>, yet h</w:t>
      </w:r>
      <w:r w:rsidR="00360734">
        <w:t>istorians</w:t>
      </w:r>
      <w:r w:rsidR="00535F72">
        <w:t>’</w:t>
      </w:r>
      <w:r w:rsidR="00360734">
        <w:t xml:space="preserve"> concentration on men’s </w:t>
      </w:r>
      <w:r>
        <w:t>involvement and its impact on men</w:t>
      </w:r>
      <w:r w:rsidR="00360734">
        <w:t xml:space="preserve"> may be unremarkable</w:t>
      </w:r>
      <w:r w:rsidR="00402B57">
        <w:t xml:space="preserve">, </w:t>
      </w:r>
      <w:r w:rsidR="001821CF">
        <w:t xml:space="preserve">for </w:t>
      </w:r>
      <w:r w:rsidR="00D27E13">
        <w:t xml:space="preserve">Eileen Power’s </w:t>
      </w:r>
      <w:r w:rsidR="00586AB4">
        <w:t xml:space="preserve">1920s </w:t>
      </w:r>
      <w:r w:rsidR="00D27E13">
        <w:t xml:space="preserve">work on </w:t>
      </w:r>
      <w:r w:rsidR="006909E8">
        <w:rPr>
          <w:i/>
        </w:rPr>
        <w:t xml:space="preserve">Medieval Women </w:t>
      </w:r>
      <w:r w:rsidR="006909E8">
        <w:t xml:space="preserve">and </w:t>
      </w:r>
      <w:r w:rsidR="006909E8">
        <w:rPr>
          <w:i/>
        </w:rPr>
        <w:t xml:space="preserve">Medieval English Nunneries </w:t>
      </w:r>
      <w:r w:rsidR="00D27E13">
        <w:t>recognis</w:t>
      </w:r>
      <w:r w:rsidR="001821CF">
        <w:t>es</w:t>
      </w:r>
      <w:r w:rsidR="00D27E13">
        <w:t xml:space="preserve"> </w:t>
      </w:r>
      <w:r w:rsidR="001821CF">
        <w:t xml:space="preserve">women moved within a </w:t>
      </w:r>
      <w:r w:rsidR="00D27E13">
        <w:t>circumscribed sphere – if</w:t>
      </w:r>
      <w:r w:rsidR="00EE56DC">
        <w:t xml:space="preserve"> women moved at all:</w:t>
      </w:r>
    </w:p>
    <w:p w14:paraId="4D03368B" w14:textId="77777777" w:rsidR="00EE56DC" w:rsidRDefault="00EE56DC" w:rsidP="00EE56DC">
      <w:pPr>
        <w:spacing w:line="276" w:lineRule="auto"/>
        <w:ind w:left="720"/>
        <w:jc w:val="both"/>
      </w:pPr>
      <w:r>
        <w:t>… the ideas about women were formed on the one hand by the clerkly order [the Church], usually celibate, and on the other hand by a narrow caste [the aristocracy], who could afford to regard its women as an ornamental asset, while strictly subordinating them to the interests of its primary asset, the land … [T]he accepted theory about the nature and sphere of women was the work of the classes least familiar with the great mass of womankind.</w:t>
      </w:r>
      <w:r w:rsidR="00DD421D">
        <w:rPr>
          <w:rStyle w:val="EndnoteReference"/>
        </w:rPr>
        <w:endnoteReference w:id="7"/>
      </w:r>
    </w:p>
    <w:p w14:paraId="0F504286" w14:textId="77777777" w:rsidR="00A75CCD" w:rsidRDefault="00D27E13" w:rsidP="006B5FCF">
      <w:pPr>
        <w:spacing w:line="276" w:lineRule="auto"/>
        <w:jc w:val="both"/>
      </w:pPr>
      <w:r>
        <w:t xml:space="preserve">Whether highborn or lowborn, </w:t>
      </w:r>
      <w:r w:rsidR="008732CB">
        <w:t>women</w:t>
      </w:r>
      <w:r>
        <w:t xml:space="preserve"> lived under the direction of fathers or husbands, or the church.</w:t>
      </w:r>
      <w:r w:rsidR="00221694">
        <w:t xml:space="preserve"> Although young men were subject to the</w:t>
      </w:r>
      <w:r w:rsidR="001821CF">
        <w:t>ir father’s will</w:t>
      </w:r>
      <w:r w:rsidR="00221694">
        <w:t>: those highborn being deployed in marriage to make alliances and increase a family’s wealth and status</w:t>
      </w:r>
      <w:r w:rsidR="001821CF">
        <w:t xml:space="preserve">, </w:t>
      </w:r>
      <w:r w:rsidR="00221694">
        <w:t xml:space="preserve">unlike young women, they were not </w:t>
      </w:r>
      <w:r w:rsidR="00EE56DC">
        <w:t xml:space="preserve">perennial </w:t>
      </w:r>
      <w:r w:rsidR="00221694">
        <w:t>‘non-persons’. Once gain</w:t>
      </w:r>
      <w:r w:rsidR="001821CF">
        <w:t>ing</w:t>
      </w:r>
      <w:r w:rsidR="00221694">
        <w:t xml:space="preserve"> their majority, </w:t>
      </w:r>
      <w:r w:rsidR="003C6657">
        <w:t xml:space="preserve">sons </w:t>
      </w:r>
      <w:r w:rsidR="00221694">
        <w:t xml:space="preserve">gained a preeminent place in their own household or that prospect </w:t>
      </w:r>
      <w:r w:rsidR="001821CF">
        <w:t xml:space="preserve">lay </w:t>
      </w:r>
      <w:r w:rsidR="00221694">
        <w:t>before them. For a woman, whatever her age, personhood was beyond her realm.</w:t>
      </w:r>
      <w:r w:rsidR="006909E8">
        <w:t xml:space="preserve"> </w:t>
      </w:r>
    </w:p>
    <w:p w14:paraId="1514C1DC" w14:textId="77777777" w:rsidR="00AB615A" w:rsidRDefault="006909E8" w:rsidP="006B5FCF">
      <w:pPr>
        <w:spacing w:line="276" w:lineRule="auto"/>
        <w:jc w:val="both"/>
      </w:pPr>
      <w:r>
        <w:t>As for treatises reflecting on law and legal history, that Magna Carta might be significant for women</w:t>
      </w:r>
      <w:r w:rsidR="007E3B92">
        <w:t>’s rights</w:t>
      </w:r>
      <w:r w:rsidR="00A75CCD">
        <w:t xml:space="preserve"> </w:t>
      </w:r>
      <w:r>
        <w:t>was far from the contemplatio</w:t>
      </w:r>
      <w:r w:rsidR="00A75CCD">
        <w:t>n of jurists Bracton</w:t>
      </w:r>
      <w:r w:rsidR="0049447D">
        <w:t xml:space="preserve"> (c.1210-c.1268)</w:t>
      </w:r>
      <w:r w:rsidR="00A75CCD">
        <w:t xml:space="preserve">, </w:t>
      </w:r>
      <w:r>
        <w:t>Coke</w:t>
      </w:r>
      <w:r w:rsidR="0049447D">
        <w:t xml:space="preserve"> (1552-1634)</w:t>
      </w:r>
      <w:r>
        <w:t>, Hale</w:t>
      </w:r>
      <w:r w:rsidR="0049447D">
        <w:t xml:space="preserve"> (1609-1676)</w:t>
      </w:r>
      <w:r>
        <w:t>, Blackstone</w:t>
      </w:r>
      <w:r w:rsidR="00753E3C">
        <w:t xml:space="preserve"> (1723-1789)</w:t>
      </w:r>
      <w:r>
        <w:t xml:space="preserve">. </w:t>
      </w:r>
      <w:r w:rsidR="00A75CCD">
        <w:t>Nor did Glanville</w:t>
      </w:r>
      <w:r w:rsidR="006F6EE3">
        <w:t xml:space="preserve"> (1112-1190)</w:t>
      </w:r>
      <w:r w:rsidR="00A75CCD">
        <w:t>,</w:t>
      </w:r>
      <w:r w:rsidR="00CD349B">
        <w:t xml:space="preserve"> John’s tutor and</w:t>
      </w:r>
      <w:r w:rsidR="00A75CCD">
        <w:t xml:space="preserve"> chief minister of England during Henry II’s reign, anticipate it. </w:t>
      </w:r>
      <w:r w:rsidR="0056415B">
        <w:t xml:space="preserve">Barbara </w:t>
      </w:r>
      <w:r w:rsidR="003C6657">
        <w:t xml:space="preserve">Leigh Smith </w:t>
      </w:r>
      <w:r w:rsidR="0056415B">
        <w:t xml:space="preserve">Bodichon published her </w:t>
      </w:r>
      <w:r w:rsidR="003C6657">
        <w:t xml:space="preserve">… </w:t>
      </w:r>
      <w:r w:rsidR="0056415B">
        <w:rPr>
          <w:i/>
        </w:rPr>
        <w:t>Laws of England concerning Women</w:t>
      </w:r>
      <w:r w:rsidR="0056415B">
        <w:t xml:space="preserve"> in 1854</w:t>
      </w:r>
      <w:r w:rsidR="00755534">
        <w:t xml:space="preserve">. Elizabeth Cady Stanton’s </w:t>
      </w:r>
      <w:r w:rsidR="00755534">
        <w:rPr>
          <w:i/>
        </w:rPr>
        <w:t>Women’s Bible</w:t>
      </w:r>
      <w:r w:rsidR="00755534">
        <w:t xml:space="preserve">, Parts I (1895) and II (1898) </w:t>
      </w:r>
      <w:r w:rsidR="00E5159E">
        <w:t xml:space="preserve">reflected her grasp of </w:t>
      </w:r>
      <w:r w:rsidR="00FA2B21">
        <w:t xml:space="preserve">the law’s failure to acknowledge women’s ‘whole’ identity and religion’s undermining of it. </w:t>
      </w:r>
      <w:r w:rsidR="00755534">
        <w:t>H</w:t>
      </w:r>
      <w:r w:rsidR="0056415B">
        <w:t xml:space="preserve">owever it was not </w:t>
      </w:r>
      <w:r w:rsidR="00755534">
        <w:t xml:space="preserve">until </w:t>
      </w:r>
      <w:r w:rsidR="0056415B">
        <w:t xml:space="preserve">750 years after Magna Carta that Albie Sachs and Joan Hoff Wilson’s </w:t>
      </w:r>
      <w:r>
        <w:t>ground breaking work</w:t>
      </w:r>
      <w:r w:rsidR="00A75CCD">
        <w:t xml:space="preserve"> </w:t>
      </w:r>
      <w:r>
        <w:t>analys</w:t>
      </w:r>
      <w:r w:rsidR="00A75CCD">
        <w:t>ing</w:t>
      </w:r>
      <w:r>
        <w:t xml:space="preserve"> </w:t>
      </w:r>
      <w:r w:rsidR="006C5757">
        <w:t xml:space="preserve">women’s </w:t>
      </w:r>
      <w:r w:rsidR="00535F72">
        <w:t>lack of</w:t>
      </w:r>
      <w:r w:rsidR="006C5757">
        <w:t xml:space="preserve"> </w:t>
      </w:r>
      <w:r w:rsidR="00A75CCD">
        <w:t xml:space="preserve">personhood </w:t>
      </w:r>
      <w:r>
        <w:t xml:space="preserve">in </w:t>
      </w:r>
      <w:r w:rsidR="00535F72">
        <w:t>US and UK</w:t>
      </w:r>
      <w:r w:rsidR="00CD349B">
        <w:t xml:space="preserve"> </w:t>
      </w:r>
      <w:r>
        <w:t>law</w:t>
      </w:r>
      <w:r w:rsidR="006C5757">
        <w:t xml:space="preserve">, </w:t>
      </w:r>
      <w:r w:rsidR="0056415B">
        <w:t xml:space="preserve">appeared. In </w:t>
      </w:r>
      <w:r>
        <w:rPr>
          <w:i/>
        </w:rPr>
        <w:t>Sexism and the Law …</w:t>
      </w:r>
      <w:r>
        <w:t xml:space="preserve">, </w:t>
      </w:r>
      <w:r w:rsidR="0056415B">
        <w:t xml:space="preserve">published </w:t>
      </w:r>
      <w:r w:rsidR="00385AC1">
        <w:t>in 1978</w:t>
      </w:r>
      <w:r w:rsidR="0056415B">
        <w:t xml:space="preserve">, </w:t>
      </w:r>
      <w:r>
        <w:t xml:space="preserve">Sachs and Wilson </w:t>
      </w:r>
      <w:r w:rsidR="00385AC1">
        <w:t>confronted deftly the judicial guile (</w:t>
      </w:r>
      <w:r w:rsidR="003C6657">
        <w:t xml:space="preserve">perhaps </w:t>
      </w:r>
      <w:r w:rsidR="00385AC1">
        <w:t>cunning</w:t>
      </w:r>
      <w:r w:rsidR="003C6657">
        <w:t>?</w:t>
      </w:r>
      <w:r w:rsidR="00385AC1">
        <w:t xml:space="preserve">) producing the jurisprudential nonsense </w:t>
      </w:r>
      <w:r w:rsidR="009E4A9F">
        <w:t>deeming w</w:t>
      </w:r>
      <w:r w:rsidR="00385AC1">
        <w:t xml:space="preserve">omen ‘non-persons’. </w:t>
      </w:r>
      <w:r w:rsidR="006C5757">
        <w:t xml:space="preserve">They </w:t>
      </w:r>
      <w:r w:rsidR="00385AC1">
        <w:t>exposed this excuse for women’s absence from bench and bar</w:t>
      </w:r>
      <w:r w:rsidR="009E4A9F">
        <w:t xml:space="preserve">, </w:t>
      </w:r>
      <w:r w:rsidR="00385AC1">
        <w:t>parliament and professorships … for what it was: a manufactured reason for legitimating women’s absence when the truth was, bluntly, (too many) men did not want women there.</w:t>
      </w:r>
      <w:r w:rsidR="00535F72">
        <w:t xml:space="preserve"> </w:t>
      </w:r>
      <w:r w:rsidR="00576618">
        <w:t>M</w:t>
      </w:r>
      <w:r w:rsidR="00535F72">
        <w:t>agna Carta won no mention</w:t>
      </w:r>
      <w:r w:rsidR="00576618">
        <w:t xml:space="preserve">. </w:t>
      </w:r>
      <w:r w:rsidR="00214B2E">
        <w:t>Nor did it</w:t>
      </w:r>
      <w:r w:rsidR="00576618">
        <w:t xml:space="preserve"> when, a</w:t>
      </w:r>
      <w:r w:rsidR="00535F72">
        <w:t>lmost f</w:t>
      </w:r>
      <w:r w:rsidR="00AB615A">
        <w:t xml:space="preserve">ifty years on, Robert J. Sharpe and Patricia I. McMahon in </w:t>
      </w:r>
      <w:r w:rsidR="00AB615A">
        <w:rPr>
          <w:i/>
        </w:rPr>
        <w:t>The Persons Case …</w:t>
      </w:r>
      <w:r w:rsidR="00535F72">
        <w:t xml:space="preserve"> </w:t>
      </w:r>
      <w:r w:rsidR="003C6657">
        <w:t>(2</w:t>
      </w:r>
      <w:r w:rsidR="00666B93">
        <w:t>0</w:t>
      </w:r>
      <w:r w:rsidR="003C6657">
        <w:t xml:space="preserve">07) </w:t>
      </w:r>
      <w:r w:rsidR="00A75557">
        <w:t xml:space="preserve">once more </w:t>
      </w:r>
      <w:r w:rsidR="00AB615A">
        <w:t>address</w:t>
      </w:r>
      <w:r w:rsidR="003C6657">
        <w:t>ed</w:t>
      </w:r>
      <w:r w:rsidR="00AB615A">
        <w:t xml:space="preserve"> the law’s women-are-not-persons conundrum</w:t>
      </w:r>
      <w:r w:rsidR="003D09AB">
        <w:t>.</w:t>
      </w:r>
      <w:r w:rsidR="00576618" w:rsidRPr="00576618">
        <w:rPr>
          <w:rStyle w:val="EndnoteReference"/>
        </w:rPr>
        <w:t xml:space="preserve"> </w:t>
      </w:r>
      <w:r w:rsidR="00576618">
        <w:rPr>
          <w:rStyle w:val="EndnoteReference"/>
        </w:rPr>
        <w:endnoteReference w:id="8"/>
      </w:r>
    </w:p>
    <w:p w14:paraId="585DCAB8" w14:textId="77777777" w:rsidR="00721F0C" w:rsidRDefault="003C6657" w:rsidP="006B5FCF">
      <w:pPr>
        <w:spacing w:line="276" w:lineRule="auto"/>
        <w:jc w:val="both"/>
      </w:pPr>
      <w:r>
        <w:t>F</w:t>
      </w:r>
      <w:r w:rsidR="00385AC1">
        <w:t>rom</w:t>
      </w:r>
      <w:r w:rsidR="007F0B4A">
        <w:t xml:space="preserve"> 1759 to 1797, </w:t>
      </w:r>
      <w:r w:rsidR="00CA2C1A">
        <w:t>Wollstonecraft</w:t>
      </w:r>
      <w:r w:rsidR="00583480">
        <w:t xml:space="preserve"> </w:t>
      </w:r>
      <w:r w:rsidR="00CA2C1A">
        <w:t>lived</w:t>
      </w:r>
      <w:r w:rsidR="00A850DE">
        <w:t xml:space="preserve"> and </w:t>
      </w:r>
      <w:r w:rsidR="00CA2C1A">
        <w:t>died, for years judged want</w:t>
      </w:r>
      <w:r w:rsidR="00583480">
        <w:t>on and want</w:t>
      </w:r>
      <w:r w:rsidR="00CA2C1A">
        <w:t xml:space="preserve">ing. </w:t>
      </w:r>
      <w:r w:rsidR="00A850DE">
        <w:t>C</w:t>
      </w:r>
      <w:r w:rsidR="00583480">
        <w:t xml:space="preserve">reative </w:t>
      </w:r>
      <w:r w:rsidR="00CA2C1A">
        <w:t xml:space="preserve">woman </w:t>
      </w:r>
      <w:r w:rsidR="00583480">
        <w:t xml:space="preserve">and </w:t>
      </w:r>
      <w:r w:rsidR="00CA2C1A">
        <w:t>‘new genus’</w:t>
      </w:r>
      <w:r w:rsidR="00583480">
        <w:t xml:space="preserve"> she</w:t>
      </w:r>
      <w:r w:rsidR="00CA2C1A">
        <w:t xml:space="preserve">, </w:t>
      </w:r>
      <w:r w:rsidR="00A850DE">
        <w:t xml:space="preserve">yet, </w:t>
      </w:r>
      <w:r w:rsidR="00CA2C1A">
        <w:t xml:space="preserve">like her medieval sisters, </w:t>
      </w:r>
      <w:r w:rsidR="00583480">
        <w:t>sco</w:t>
      </w:r>
      <w:r w:rsidR="0012234B">
        <w:t xml:space="preserve">rned by </w:t>
      </w:r>
      <w:r w:rsidR="00CA2C1A">
        <w:t>unreason</w:t>
      </w:r>
      <w:r w:rsidR="00A850DE">
        <w:t>ed and unreasonin</w:t>
      </w:r>
      <w:r w:rsidR="00CA2C1A">
        <w:t xml:space="preserve">g </w:t>
      </w:r>
      <w:r w:rsidR="00CA2C1A">
        <w:lastRenderedPageBreak/>
        <w:t xml:space="preserve">opinion dripping sexual prejudice. </w:t>
      </w:r>
      <w:r w:rsidR="0012234B">
        <w:t>Yet a</w:t>
      </w:r>
      <w:r w:rsidR="00CA2C1A">
        <w:t xml:space="preserve">s </w:t>
      </w:r>
      <w:r w:rsidR="0012234B">
        <w:t>c</w:t>
      </w:r>
      <w:r w:rsidR="00CA2C1A">
        <w:t xml:space="preserve">hapter 2 ‘Are Women Peers’ relates, Magna Carta called for judgment by peers. </w:t>
      </w:r>
      <w:r w:rsidR="008D48DB">
        <w:t xml:space="preserve">Would women’s </w:t>
      </w:r>
      <w:r w:rsidR="00585F12">
        <w:t>campaign</w:t>
      </w:r>
      <w:r w:rsidR="008D48DB">
        <w:t xml:space="preserve"> for adjudication in courtrooms vindicate Wollstonecraft or condemn her?</w:t>
      </w:r>
      <w:r w:rsidR="00583480">
        <w:t xml:space="preserve"> </w:t>
      </w:r>
      <w:r>
        <w:t>W</w:t>
      </w:r>
      <w:r w:rsidR="00AC0747">
        <w:t xml:space="preserve">omen’s role as jurors and the struggle for women to get there features in historically and jurisprudentially based work. </w:t>
      </w:r>
      <w:r w:rsidR="00585F12">
        <w:t xml:space="preserve">Holly J. McCammon’s </w:t>
      </w:r>
      <w:r>
        <w:t>t</w:t>
      </w:r>
      <w:r w:rsidR="0057179E">
        <w:t xml:space="preserve">reatise, </w:t>
      </w:r>
      <w:r w:rsidR="00585F12">
        <w:rPr>
          <w:i/>
        </w:rPr>
        <w:t xml:space="preserve">The U.S. Women’s Jury Movements … </w:t>
      </w:r>
      <w:r w:rsidR="0057179E">
        <w:t>covers</w:t>
      </w:r>
      <w:r>
        <w:t xml:space="preserve"> 1920s through 1960s </w:t>
      </w:r>
      <w:r w:rsidR="00585F12">
        <w:t xml:space="preserve">campaigning in all </w:t>
      </w:r>
      <w:r>
        <w:t xml:space="preserve">US </w:t>
      </w:r>
      <w:r w:rsidR="00585F12">
        <w:t xml:space="preserve">states. </w:t>
      </w:r>
      <w:r w:rsidR="00D37A1A">
        <w:t>She cites the Bill of Rights 6</w:t>
      </w:r>
      <w:r w:rsidR="00D37A1A" w:rsidRPr="00D37A1A">
        <w:rPr>
          <w:vertAlign w:val="superscript"/>
        </w:rPr>
        <w:t>th</w:t>
      </w:r>
      <w:r w:rsidR="00D37A1A">
        <w:t xml:space="preserve"> Amendment, based on Magna Cart</w:t>
      </w:r>
      <w:r w:rsidR="0057179E">
        <w:t xml:space="preserve">a, </w:t>
      </w:r>
      <w:r>
        <w:t xml:space="preserve">focusing </w:t>
      </w:r>
      <w:r w:rsidR="0057179E">
        <w:t>on women’s archival material</w:t>
      </w:r>
      <w:r w:rsidR="006C5757">
        <w:t xml:space="preserve"> </w:t>
      </w:r>
      <w:r w:rsidR="00981883">
        <w:t>reflecting</w:t>
      </w:r>
      <w:r>
        <w:t xml:space="preserve"> 19</w:t>
      </w:r>
      <w:r w:rsidRPr="003C6657">
        <w:rPr>
          <w:vertAlign w:val="superscript"/>
        </w:rPr>
        <w:t>th</w:t>
      </w:r>
      <w:r>
        <w:t xml:space="preserve"> century st</w:t>
      </w:r>
      <w:r w:rsidR="006C5757">
        <w:t>ruggles</w:t>
      </w:r>
      <w:r w:rsidR="0057179E">
        <w:t xml:space="preserve">. </w:t>
      </w:r>
      <w:r w:rsidR="00FD61DB">
        <w:t>In the UK</w:t>
      </w:r>
      <w:r w:rsidR="00981883">
        <w:t>,</w:t>
      </w:r>
      <w:r w:rsidR="00FD61DB">
        <w:t xml:space="preserve"> Australia, Canada and Aotearoa/New Zealand </w:t>
      </w:r>
      <w:r w:rsidR="00253396">
        <w:t xml:space="preserve">academic and practising lawyers have built </w:t>
      </w:r>
      <w:r w:rsidR="00FD61DB">
        <w:t xml:space="preserve">a strong corpus of work, </w:t>
      </w:r>
      <w:r w:rsidR="00981883">
        <w:t xml:space="preserve">though little </w:t>
      </w:r>
      <w:r w:rsidR="00FD61DB">
        <w:t xml:space="preserve">explicitly directed to women’s role. </w:t>
      </w:r>
      <w:r w:rsidR="00981883">
        <w:t>If mentioned, M</w:t>
      </w:r>
      <w:r w:rsidR="00FD61DB">
        <w:t xml:space="preserve">agna Carta </w:t>
      </w:r>
      <w:r w:rsidR="00981883">
        <w:t>is not centre stage</w:t>
      </w:r>
      <w:r w:rsidR="00FD61DB">
        <w:t xml:space="preserve">. </w:t>
      </w:r>
      <w:r w:rsidR="00B00249">
        <w:t xml:space="preserve">Following an earlier ‘all white juries’ study, in 2010 Cheryl Thomas conducted a major </w:t>
      </w:r>
      <w:r w:rsidR="00253396">
        <w:t>review</w:t>
      </w:r>
      <w:r w:rsidR="00B00249">
        <w:t xml:space="preserve"> </w:t>
      </w:r>
      <w:r w:rsidR="00B00249">
        <w:rPr>
          <w:i/>
        </w:rPr>
        <w:t xml:space="preserve">Are juries fair? </w:t>
      </w:r>
      <w:r w:rsidR="00B00249">
        <w:t>for the UK Ministry of Justice, focus</w:t>
      </w:r>
      <w:r w:rsidR="00624B05">
        <w:t>ing</w:t>
      </w:r>
      <w:r w:rsidR="00B00249">
        <w:t xml:space="preserve"> on minorities, </w:t>
      </w:r>
      <w:r w:rsidR="00B227E2">
        <w:t xml:space="preserve">and no Magna Carta background. Neil Vidmar’s </w:t>
      </w:r>
      <w:r w:rsidR="00B227E2">
        <w:rPr>
          <w:i/>
        </w:rPr>
        <w:t>World Jury Systems</w:t>
      </w:r>
      <w:r w:rsidR="00B227E2">
        <w:t xml:space="preserve"> and</w:t>
      </w:r>
      <w:r w:rsidR="00253396">
        <w:t>,</w:t>
      </w:r>
      <w:r w:rsidR="00B227E2">
        <w:t xml:space="preserve"> with Valerie Hans, </w:t>
      </w:r>
      <w:r w:rsidR="00B227E2">
        <w:rPr>
          <w:i/>
        </w:rPr>
        <w:t>Judging the Jury</w:t>
      </w:r>
      <w:r w:rsidR="00B227E2">
        <w:t>, look at similarities and differences – the latter</w:t>
      </w:r>
      <w:r w:rsidR="00583BBC">
        <w:t xml:space="preserve"> (1986)</w:t>
      </w:r>
      <w:r w:rsidR="00B227E2">
        <w:t xml:space="preserve">, principally Canada and the US, the former </w:t>
      </w:r>
      <w:r w:rsidR="00583BBC">
        <w:t xml:space="preserve">(2004) </w:t>
      </w:r>
      <w:r w:rsidR="00253396">
        <w:t xml:space="preserve">reviewing </w:t>
      </w:r>
      <w:r w:rsidR="00B227E2">
        <w:t>amongst others England, the US, Australia, Aotearoa/New Zealand, Canada, Scotland and Ireland (</w:t>
      </w:r>
      <w:r w:rsidR="00253396">
        <w:t xml:space="preserve">NI and </w:t>
      </w:r>
      <w:r w:rsidR="00B227E2">
        <w:t>Republic)</w:t>
      </w:r>
      <w:r w:rsidR="00321395">
        <w:t>: r</w:t>
      </w:r>
      <w:r w:rsidR="00B227E2">
        <w:t>eferences to women, but no</w:t>
      </w:r>
      <w:r w:rsidR="00624B05">
        <w:t xml:space="preserve">thing headed </w:t>
      </w:r>
      <w:r w:rsidR="00B227E2">
        <w:t>‘Women and Juries’</w:t>
      </w:r>
      <w:r>
        <w:t xml:space="preserve">, </w:t>
      </w:r>
      <w:r w:rsidR="00B227E2">
        <w:t>‘Women as Jurors’</w:t>
      </w:r>
      <w:r>
        <w:t xml:space="preserve"> or ‘Magna  Carta’</w:t>
      </w:r>
      <w:r w:rsidR="00B227E2">
        <w:t xml:space="preserve">. </w:t>
      </w:r>
      <w:r w:rsidR="00624B05">
        <w:t xml:space="preserve">Vidmar and </w:t>
      </w:r>
      <w:r w:rsidR="00FA3263">
        <w:t xml:space="preserve">Regina Schuller in ‘The Canadian Criminal Jury’ </w:t>
      </w:r>
      <w:r w:rsidR="00583BBC">
        <w:t xml:space="preserve">(2011) </w:t>
      </w:r>
      <w:r w:rsidR="00FA3263">
        <w:t>acknowledge Britain as originato</w:t>
      </w:r>
      <w:r w:rsidR="00B227E2">
        <w:t>r but again, Magna Carta’s absence is replicated by a paucity of reference to women</w:t>
      </w:r>
      <w:r w:rsidR="00FA3263">
        <w:t xml:space="preserve">. </w:t>
      </w:r>
      <w:r w:rsidR="00B227E2">
        <w:t>Neil Ca</w:t>
      </w:r>
      <w:r w:rsidR="002D71B4">
        <w:t>m</w:t>
      </w:r>
      <w:r w:rsidR="00B227E2">
        <w:t xml:space="preserve">eron, Susan Potter and Warren Young cover ‘The New Zealand Jury’ – recognising colonial history and English heritage, but again no Magna Carta and little on women. </w:t>
      </w:r>
      <w:r w:rsidR="00F8744E">
        <w:t>Michael Chesterman</w:t>
      </w:r>
      <w:r w:rsidR="002D71B4">
        <w:t xml:space="preserve">’s </w:t>
      </w:r>
      <w:r w:rsidR="00F8744E">
        <w:t xml:space="preserve">insightful </w:t>
      </w:r>
      <w:r w:rsidR="00624B05">
        <w:t xml:space="preserve">1997 </w:t>
      </w:r>
      <w:r w:rsidR="00F8744E">
        <w:t>article explor</w:t>
      </w:r>
      <w:r w:rsidR="002D71B4">
        <w:t>es</w:t>
      </w:r>
      <w:r w:rsidR="00F8744E">
        <w:t xml:space="preserve"> the role of ju</w:t>
      </w:r>
      <w:r w:rsidR="00BB60E9">
        <w:t>r</w:t>
      </w:r>
      <w:r w:rsidR="00F8744E">
        <w:t>ies in ‘sensationalist’ or sensationalised crimes involving women – as accused (Alice Lynne Chamberl</w:t>
      </w:r>
      <w:r w:rsidR="00981883">
        <w:t>a</w:t>
      </w:r>
      <w:r w:rsidR="00F8744E">
        <w:t>in in Australia’s ‘dingo’s got my baby’ case</w:t>
      </w:r>
      <w:r w:rsidR="00BB60E9">
        <w:t>)</w:t>
      </w:r>
      <w:r w:rsidR="00F8744E">
        <w:t xml:space="preserve">, and as victim (OJ Simpson and the death of Nicole Simpson and her friend </w:t>
      </w:r>
      <w:r w:rsidR="005F2F43" w:rsidRPr="00737CA6">
        <w:t>Ronald Goldman</w:t>
      </w:r>
      <w:r w:rsidR="00F8744E" w:rsidRPr="00737CA6">
        <w:t>).</w:t>
      </w:r>
      <w:r w:rsidR="00BB60E9" w:rsidRPr="00737CA6">
        <w:t xml:space="preserve"> </w:t>
      </w:r>
      <w:r w:rsidR="00F8744E" w:rsidRPr="00737CA6">
        <w:t xml:space="preserve">Kate Auty and </w:t>
      </w:r>
      <w:r w:rsidR="00DC4ADC" w:rsidRPr="00737CA6">
        <w:t xml:space="preserve">Sandy Toussaint’s </w:t>
      </w:r>
      <w:r w:rsidR="00737CA6" w:rsidRPr="00737CA6">
        <w:rPr>
          <w:i/>
        </w:rPr>
        <w:t>A Jury of Whose Peers?</w:t>
      </w:r>
      <w:r w:rsidR="00737CA6">
        <w:rPr>
          <w:i/>
        </w:rPr>
        <w:t xml:space="preserve"> </w:t>
      </w:r>
      <w:r w:rsidR="00583BBC">
        <w:t xml:space="preserve">(2004) </w:t>
      </w:r>
      <w:r w:rsidR="00721F0C">
        <w:t xml:space="preserve">redeems this by carrying </w:t>
      </w:r>
      <w:r w:rsidR="00737CA6">
        <w:t>entire chapters on women and juries, analysing their impact and socio-cultural meanings.</w:t>
      </w:r>
      <w:r>
        <w:t xml:space="preserve"> Still, no Magna Carta</w:t>
      </w:r>
      <w:r w:rsidR="00B00249" w:rsidRPr="00737CA6">
        <w:rPr>
          <w:rStyle w:val="EndnoteReference"/>
        </w:rPr>
        <w:endnoteReference w:id="9"/>
      </w:r>
    </w:p>
    <w:p w14:paraId="2136DEB8" w14:textId="77777777" w:rsidR="00656608" w:rsidRDefault="00440E36" w:rsidP="00656608">
      <w:pPr>
        <w:spacing w:line="276" w:lineRule="auto"/>
        <w:jc w:val="both"/>
      </w:pPr>
      <w:r>
        <w:t xml:space="preserve">Addressing </w:t>
      </w:r>
      <w:r w:rsidR="005A39B4">
        <w:t>land rights, i</w:t>
      </w:r>
      <w:r w:rsidR="00D43BB8">
        <w:t>n the late 15</w:t>
      </w:r>
      <w:r w:rsidR="00D43BB8" w:rsidRPr="00D43BB8">
        <w:rPr>
          <w:vertAlign w:val="superscript"/>
        </w:rPr>
        <w:t>th</w:t>
      </w:r>
      <w:r w:rsidR="00D43BB8">
        <w:t xml:space="preserve"> century, Margery Paston and </w:t>
      </w:r>
      <w:r w:rsidR="001D592B">
        <w:t xml:space="preserve">her mother-in-law </w:t>
      </w:r>
      <w:r w:rsidR="00D43BB8">
        <w:t xml:space="preserve">Margaret Paston sought support from </w:t>
      </w:r>
      <w:r w:rsidR="005A39B4">
        <w:t>Norfolk</w:t>
      </w:r>
      <w:r w:rsidR="001D592B">
        <w:t>’s</w:t>
      </w:r>
      <w:r w:rsidR="005A39B4">
        <w:t xml:space="preserve"> </w:t>
      </w:r>
      <w:r w:rsidR="00D43BB8">
        <w:t xml:space="preserve">dowager duchess in </w:t>
      </w:r>
      <w:r w:rsidR="001D592B">
        <w:t xml:space="preserve">John Paston’s </w:t>
      </w:r>
      <w:r w:rsidR="00D43BB8">
        <w:t xml:space="preserve">property dispute. Articulate and forceful, </w:t>
      </w:r>
      <w:r w:rsidR="006D21A2">
        <w:t xml:space="preserve">consistent with Magna Carta </w:t>
      </w:r>
      <w:r w:rsidR="00D43BB8">
        <w:t xml:space="preserve">they nonetheless saw their delegation as regaining or retaining ‘his’ land. </w:t>
      </w:r>
      <w:r w:rsidR="0022005F">
        <w:t xml:space="preserve">Leyser’s </w:t>
      </w:r>
      <w:r w:rsidR="0022005F">
        <w:rPr>
          <w:i/>
        </w:rPr>
        <w:t xml:space="preserve">Medieval Women </w:t>
      </w:r>
      <w:r w:rsidR="00437ED9">
        <w:t xml:space="preserve">(1995) </w:t>
      </w:r>
      <w:r w:rsidR="0022005F">
        <w:t xml:space="preserve">refers briefly to Magna Carta in this context: widows ‘effectively denied … any choice at all’, because property rights were male. Women’s inheritance ‘rights’ – if existing – were subsumed in their status, exemplified by the 1185 </w:t>
      </w:r>
      <w:r w:rsidR="0022005F">
        <w:rPr>
          <w:i/>
        </w:rPr>
        <w:t xml:space="preserve">Register of Rich Widows and of Orphaned Heirs and Heiresses </w:t>
      </w:r>
      <w:r w:rsidR="0022005F">
        <w:t xml:space="preserve">– the list of </w:t>
      </w:r>
      <w:r w:rsidR="00437ED9">
        <w:t xml:space="preserve">those </w:t>
      </w:r>
      <w:r w:rsidR="0022005F">
        <w:t>‘in the king’s gift’, women and property employed by kings as bargaining tools for enhancing regnal power.</w:t>
      </w:r>
      <w:r w:rsidR="00CB68F2">
        <w:t xml:space="preserve"> </w:t>
      </w:r>
      <w:r w:rsidR="00D116F0">
        <w:t xml:space="preserve">Amy Louise Erickson follows with </w:t>
      </w:r>
      <w:r w:rsidR="00D116F0">
        <w:rPr>
          <w:i/>
        </w:rPr>
        <w:t>Women and Property in Early Modern England</w:t>
      </w:r>
      <w:r w:rsidR="0022005F">
        <w:t xml:space="preserve"> </w:t>
      </w:r>
      <w:r w:rsidR="00D116F0">
        <w:t>(1993) and</w:t>
      </w:r>
      <w:r w:rsidR="002D69A4">
        <w:t>,</w:t>
      </w:r>
      <w:r w:rsidR="00D116F0">
        <w:t xml:space="preserve"> </w:t>
      </w:r>
      <w:r w:rsidR="006119D3">
        <w:t xml:space="preserve">addressing </w:t>
      </w:r>
      <w:r w:rsidR="0022005F">
        <w:t xml:space="preserve">women’s lives and legal status in the Victorian era, Joan Perkin’s </w:t>
      </w:r>
      <w:r w:rsidR="0022005F">
        <w:rPr>
          <w:i/>
        </w:rPr>
        <w:t>Women and Marriage …</w:t>
      </w:r>
      <w:r w:rsidR="0022005F">
        <w:t xml:space="preserve"> (1989) and </w:t>
      </w:r>
      <w:r w:rsidR="0022005F">
        <w:rPr>
          <w:i/>
        </w:rPr>
        <w:t>Victorian Women</w:t>
      </w:r>
      <w:r w:rsidR="0084704C">
        <w:rPr>
          <w:i/>
        </w:rPr>
        <w:t xml:space="preserve"> </w:t>
      </w:r>
      <w:r w:rsidR="0084704C">
        <w:t>(</w:t>
      </w:r>
      <w:r w:rsidR="0022005F">
        <w:t>1995</w:t>
      </w:r>
      <w:r w:rsidR="0084704C">
        <w:t>)</w:t>
      </w:r>
      <w:r w:rsidR="0022005F">
        <w:t xml:space="preserve"> reveal women</w:t>
      </w:r>
      <w:r w:rsidR="006119D3">
        <w:t>’s efforts t</w:t>
      </w:r>
      <w:r w:rsidR="0022005F">
        <w:t>o avoid legal and historical oppression centred in property rights (for men) and wrongs (for women)</w:t>
      </w:r>
      <w:r w:rsidR="00437ED9">
        <w:t xml:space="preserve">. </w:t>
      </w:r>
      <w:r w:rsidR="00656608">
        <w:t>Mar</w:t>
      </w:r>
      <w:r w:rsidR="00405BF1">
        <w:t>y</w:t>
      </w:r>
      <w:r w:rsidR="00656608">
        <w:t xml:space="preserve">lynn Salmon’s </w:t>
      </w:r>
      <w:r w:rsidR="00656608">
        <w:rPr>
          <w:i/>
        </w:rPr>
        <w:t xml:space="preserve">Women and the Law of Property </w:t>
      </w:r>
      <w:r w:rsidR="00656608">
        <w:t xml:space="preserve">… </w:t>
      </w:r>
      <w:r w:rsidR="00671914">
        <w:t xml:space="preserve">(1986) </w:t>
      </w:r>
      <w:r w:rsidR="00656608">
        <w:t xml:space="preserve">addresses </w:t>
      </w:r>
      <w:r w:rsidR="00437ED9">
        <w:t xml:space="preserve">US </w:t>
      </w:r>
      <w:r w:rsidR="00656608">
        <w:t>women’s property rights history.</w:t>
      </w:r>
      <w:r w:rsidR="0022005F">
        <w:t xml:space="preserve"> </w:t>
      </w:r>
      <w:r w:rsidR="006119D3">
        <w:t xml:space="preserve">For </w:t>
      </w:r>
      <w:r w:rsidR="009D40D4">
        <w:t>Canada, Anne Lorene C</w:t>
      </w:r>
      <w:r w:rsidR="00D116F0">
        <w:t xml:space="preserve">hambers’ </w:t>
      </w:r>
      <w:r w:rsidR="00D116F0">
        <w:rPr>
          <w:i/>
        </w:rPr>
        <w:t xml:space="preserve">Married Women and Property Law </w:t>
      </w:r>
      <w:r w:rsidR="00D116F0">
        <w:t>… c</w:t>
      </w:r>
      <w:r w:rsidR="007E36EA">
        <w:t>ombin</w:t>
      </w:r>
      <w:r w:rsidR="00D116F0">
        <w:t>es</w:t>
      </w:r>
      <w:r w:rsidR="007E36EA">
        <w:t xml:space="preserve"> law past and present, </w:t>
      </w:r>
      <w:r w:rsidR="006D21A2">
        <w:t xml:space="preserve">as do Angela Barns, Andrew Cowie and Therese Jefferson in </w:t>
      </w:r>
      <w:r w:rsidR="006D21A2">
        <w:rPr>
          <w:i/>
        </w:rPr>
        <w:t xml:space="preserve">Women’s Property Rights … </w:t>
      </w:r>
      <w:r w:rsidR="006D21A2">
        <w:t>(2009) for Australia</w:t>
      </w:r>
      <w:r w:rsidR="00DC3869">
        <w:t xml:space="preserve">, </w:t>
      </w:r>
      <w:r w:rsidR="0076785B">
        <w:t xml:space="preserve">whilst </w:t>
      </w:r>
      <w:r w:rsidR="00DC3869">
        <w:t xml:space="preserve">Maureen Baker </w:t>
      </w:r>
      <w:r w:rsidR="0076785B">
        <w:t>provides historical and sociological insights for Aotearoa/New Zealand</w:t>
      </w:r>
      <w:r w:rsidR="006119D3">
        <w:t>, Canada</w:t>
      </w:r>
      <w:r w:rsidR="0076785B">
        <w:t xml:space="preserve"> and Australia </w:t>
      </w:r>
      <w:r w:rsidR="00DC3869">
        <w:t xml:space="preserve">in </w:t>
      </w:r>
      <w:r w:rsidR="00DC3869">
        <w:rPr>
          <w:i/>
        </w:rPr>
        <w:t>Families, Labour and Love</w:t>
      </w:r>
      <w:r w:rsidR="00DC3869">
        <w:t xml:space="preserve"> (2001)</w:t>
      </w:r>
      <w:r w:rsidR="00656608">
        <w:t xml:space="preserve">. </w:t>
      </w:r>
      <w:r w:rsidR="006119D3">
        <w:t xml:space="preserve">Magna </w:t>
      </w:r>
      <w:r w:rsidR="00656608">
        <w:t xml:space="preserve">Carta </w:t>
      </w:r>
      <w:r w:rsidR="006119D3">
        <w:t xml:space="preserve">being </w:t>
      </w:r>
      <w:r w:rsidR="00656608">
        <w:t>implicit</w:t>
      </w:r>
      <w:r w:rsidR="00437ED9">
        <w:t xml:space="preserve">, not </w:t>
      </w:r>
      <w:r w:rsidR="006119D3">
        <w:t xml:space="preserve">explicit in this scholarship, </w:t>
      </w:r>
      <w:r w:rsidR="00656608">
        <w:t>chapter 3 ‘Can Women be Landed Gentry?’ d</w:t>
      </w:r>
      <w:r w:rsidR="006119D3">
        <w:t xml:space="preserve">raws </w:t>
      </w:r>
      <w:r w:rsidR="00656608">
        <w:t xml:space="preserve">together </w:t>
      </w:r>
      <w:r w:rsidR="006119D3">
        <w:t xml:space="preserve">women’s struggles arising out of </w:t>
      </w:r>
      <w:r w:rsidR="00656608">
        <w:t>Magna Carta</w:t>
      </w:r>
      <w:r w:rsidR="006119D3">
        <w:t xml:space="preserve">, </w:t>
      </w:r>
      <w:r w:rsidR="00656608">
        <w:t xml:space="preserve">detailing </w:t>
      </w:r>
      <w:r w:rsidR="006119D3">
        <w:t xml:space="preserve">its limited </w:t>
      </w:r>
      <w:r w:rsidR="00656608">
        <w:t xml:space="preserve">gestures toward widows and property, </w:t>
      </w:r>
      <w:r w:rsidR="006119D3">
        <w:t xml:space="preserve">and recounting </w:t>
      </w:r>
      <w:r w:rsidR="00437ED9">
        <w:t>the still unfinished struggle for women’s claims</w:t>
      </w:r>
      <w:r w:rsidR="00656608">
        <w:t>.</w:t>
      </w:r>
      <w:r w:rsidR="00656608">
        <w:rPr>
          <w:rStyle w:val="EndnoteReference"/>
        </w:rPr>
        <w:endnoteReference w:id="10"/>
      </w:r>
      <w:r w:rsidR="00656608">
        <w:t xml:space="preserve"> </w:t>
      </w:r>
    </w:p>
    <w:p w14:paraId="510B0592" w14:textId="77777777" w:rsidR="00677436" w:rsidRPr="009B11C0" w:rsidRDefault="00B903FE" w:rsidP="00677436">
      <w:pPr>
        <w:spacing w:line="276" w:lineRule="auto"/>
        <w:jc w:val="both"/>
      </w:pPr>
      <w:r>
        <w:lastRenderedPageBreak/>
        <w:t xml:space="preserve">As for </w:t>
      </w:r>
      <w:r w:rsidR="00834410">
        <w:t>revenue and the franchise</w:t>
      </w:r>
      <w:r>
        <w:t>, c</w:t>
      </w:r>
      <w:r w:rsidR="00834410">
        <w:t xml:space="preserve">hapter 4 ‘No Taxation without Representation’ </w:t>
      </w:r>
      <w:r w:rsidR="00B00838">
        <w:t>explores</w:t>
      </w:r>
      <w:r w:rsidR="00731356">
        <w:t xml:space="preserve"> </w:t>
      </w:r>
      <w:r w:rsidR="00B00838">
        <w:t xml:space="preserve">women’s </w:t>
      </w:r>
      <w:r w:rsidR="009175C7">
        <w:t xml:space="preserve">campaign for </w:t>
      </w:r>
      <w:r w:rsidR="00731356">
        <w:t>a say in the polity and the raising of revenue</w:t>
      </w:r>
      <w:r w:rsidR="001D592B">
        <w:t xml:space="preserve"> – </w:t>
      </w:r>
      <w:r w:rsidR="009175C7">
        <w:t xml:space="preserve">Magna Carta’s affirmation </w:t>
      </w:r>
      <w:r w:rsidR="001D592B">
        <w:t xml:space="preserve">for </w:t>
      </w:r>
      <w:r w:rsidR="00212BAF">
        <w:t>barons</w:t>
      </w:r>
      <w:r w:rsidR="001D592B">
        <w:t xml:space="preserve"> and freemen</w:t>
      </w:r>
      <w:r w:rsidR="00731356">
        <w:t>.</w:t>
      </w:r>
      <w:r w:rsidR="00A00C32">
        <w:t xml:space="preserve"> </w:t>
      </w:r>
      <w:r w:rsidR="00173439">
        <w:t xml:space="preserve">Women’s enfranchisement </w:t>
      </w:r>
      <w:r w:rsidR="009175C7">
        <w:t>h</w:t>
      </w:r>
      <w:r w:rsidR="00173439">
        <w:t xml:space="preserve">as a high history profile, less so women’s tax status. </w:t>
      </w:r>
      <w:r w:rsidR="009175C7">
        <w:t>W</w:t>
      </w:r>
      <w:r w:rsidR="00173439">
        <w:t xml:space="preserve">omen’s populist movements in Britain, the US and Australia </w:t>
      </w:r>
      <w:r w:rsidR="009175C7">
        <w:t xml:space="preserve">echoed Magna Carta’s barons ‘no taxation’ refrain in an egalitarian voice, yet scholarship is only now beginning to catch up. The inequities of women’s tax liability, the (under)valuing of ‘women’s work’, and the role of global finance </w:t>
      </w:r>
      <w:r w:rsidR="00A15C6D">
        <w:t xml:space="preserve">are being dissected with surgical precision led, by Patricia Apps’ tax analysis in her 1981 </w:t>
      </w:r>
      <w:r w:rsidR="00A15C6D">
        <w:rPr>
          <w:i/>
        </w:rPr>
        <w:t xml:space="preserve">A </w:t>
      </w:r>
      <w:r w:rsidR="00A15C6D" w:rsidRPr="00A15C6D">
        <w:rPr>
          <w:i/>
        </w:rPr>
        <w:t xml:space="preserve">Theory of Inequality …, </w:t>
      </w:r>
      <w:r w:rsidR="00A15C6D">
        <w:t xml:space="preserve">added to </w:t>
      </w:r>
      <w:r w:rsidR="00A15C6D" w:rsidRPr="00A15C6D">
        <w:t>by M</w:t>
      </w:r>
      <w:r w:rsidR="00693E27" w:rsidRPr="00A15C6D">
        <w:t xml:space="preserve">arilyn Waring’s </w:t>
      </w:r>
      <w:r w:rsidR="00A00C32" w:rsidRPr="00A15C6D">
        <w:t xml:space="preserve">work on women and economics - </w:t>
      </w:r>
      <w:r w:rsidR="00F52131" w:rsidRPr="00A15C6D">
        <w:rPr>
          <w:i/>
        </w:rPr>
        <w:t>If Women</w:t>
      </w:r>
      <w:r w:rsidR="00F52131">
        <w:rPr>
          <w:i/>
        </w:rPr>
        <w:t xml:space="preserve"> Counted</w:t>
      </w:r>
      <w:r w:rsidR="00FB6D7C">
        <w:rPr>
          <w:i/>
        </w:rPr>
        <w:t xml:space="preserve"> </w:t>
      </w:r>
      <w:r w:rsidR="00FB6D7C">
        <w:t>(19</w:t>
      </w:r>
      <w:r w:rsidR="00671914">
        <w:t>8</w:t>
      </w:r>
      <w:r w:rsidR="00FB6D7C">
        <w:t>8)</w:t>
      </w:r>
      <w:r w:rsidR="00671914">
        <w:t xml:space="preserve">, </w:t>
      </w:r>
      <w:r w:rsidR="008D4043">
        <w:t xml:space="preserve">and </w:t>
      </w:r>
      <w:r w:rsidR="00671914">
        <w:t>followed by</w:t>
      </w:r>
      <w:r w:rsidR="00D90977">
        <w:t xml:space="preserve"> Ann Mumford</w:t>
      </w:r>
      <w:r w:rsidR="00671914">
        <w:t>’s 2010 comparative law perspective</w:t>
      </w:r>
      <w:r w:rsidR="00D90977">
        <w:t xml:space="preserve">, </w:t>
      </w:r>
      <w:r w:rsidR="00D90977">
        <w:rPr>
          <w:i/>
        </w:rPr>
        <w:t xml:space="preserve">Tax Policy, Women and the Law </w:t>
      </w:r>
      <w:r w:rsidR="00671914">
        <w:rPr>
          <w:i/>
        </w:rPr>
        <w:t>…</w:t>
      </w:r>
      <w:r w:rsidR="009B11C0">
        <w:t>.</w:t>
      </w:r>
      <w:r w:rsidR="008F26A6">
        <w:rPr>
          <w:rStyle w:val="EndnoteReference"/>
        </w:rPr>
        <w:endnoteReference w:id="11"/>
      </w:r>
    </w:p>
    <w:p w14:paraId="2EE18BE1" w14:textId="77777777" w:rsidR="00D90977" w:rsidRDefault="006D33AE" w:rsidP="009B11C0">
      <w:pPr>
        <w:spacing w:line="276" w:lineRule="auto"/>
        <w:jc w:val="both"/>
        <w:rPr>
          <w:rFonts w:cs="Arial"/>
          <w:vanish/>
          <w:lang w:val="en"/>
        </w:rPr>
      </w:pPr>
      <w:r>
        <w:t>Just as Magna Carta demanded t</w:t>
      </w:r>
      <w:r w:rsidR="00CA34BE">
        <w:t>axation and politics</w:t>
      </w:r>
      <w:r w:rsidR="00A15C6D">
        <w:t xml:space="preserve"> heed men’s voices</w:t>
      </w:r>
      <w:r>
        <w:t xml:space="preserve">, </w:t>
      </w:r>
      <w:r w:rsidR="00CA34BE">
        <w:t>women’s voices</w:t>
      </w:r>
      <w:r>
        <w:t xml:space="preserve"> demand a hearing in the polity and revenue raising. Similarly with legal wrangles: c</w:t>
      </w:r>
      <w:r w:rsidR="00CA34BE">
        <w:t>hapter 5 ‘Access to Law and Justice’ addresses women’s right</w:t>
      </w:r>
      <w:r w:rsidR="00A15C6D">
        <w:t>s</w:t>
      </w:r>
      <w:r w:rsidR="00CA34BE">
        <w:t xml:space="preserve"> in civil disputes</w:t>
      </w:r>
      <w:r w:rsidR="00A15C6D">
        <w:t xml:space="preserve">. Critically, </w:t>
      </w:r>
      <w:r w:rsidR="00D90977">
        <w:rPr>
          <w:rFonts w:cs="Arial"/>
          <w:vanish/>
          <w:lang w:val="en"/>
        </w:rPr>
        <w:t>$109.99 (C)</w:t>
      </w:r>
    </w:p>
    <w:p w14:paraId="1DC0086A" w14:textId="77777777" w:rsidR="009B11C0" w:rsidRPr="00F0760D" w:rsidRDefault="00275064" w:rsidP="006B5FCF">
      <w:pPr>
        <w:spacing w:line="276" w:lineRule="auto"/>
        <w:jc w:val="both"/>
      </w:pPr>
      <w:r>
        <w:t>Magna Carta focused on a</w:t>
      </w:r>
      <w:r w:rsidR="00C90821">
        <w:t>ccess to law</w:t>
      </w:r>
      <w:r w:rsidR="00A15C6D">
        <w:t xml:space="preserve"> and the rights of the governed (the barons) to challenge the governor (the king)</w:t>
      </w:r>
      <w:r w:rsidR="00C90821">
        <w:t xml:space="preserve">. </w:t>
      </w:r>
      <w:r w:rsidR="00565D00">
        <w:t xml:space="preserve">Why? </w:t>
      </w:r>
      <w:r w:rsidR="00C90821">
        <w:t xml:space="preserve">The </w:t>
      </w:r>
      <w:r w:rsidR="009B11C0">
        <w:t xml:space="preserve">medieval </w:t>
      </w:r>
      <w:r w:rsidR="00C90821">
        <w:t xml:space="preserve">court followed the king. Henry II travelled out of London – </w:t>
      </w:r>
      <w:r w:rsidR="009B11C0">
        <w:t>sometimes</w:t>
      </w:r>
      <w:r w:rsidR="00C90821">
        <w:t xml:space="preserve">. Richard went north rarely. John travelled to Nottingham, Lincoln, Derby, Oxford, Buckinghamshire, Norfolk, </w:t>
      </w:r>
      <w:r w:rsidR="009B11C0">
        <w:t xml:space="preserve">Norwich, </w:t>
      </w:r>
      <w:r w:rsidR="00C90821">
        <w:t>points beyond</w:t>
      </w:r>
      <w:r w:rsidR="00AD00D6">
        <w:t xml:space="preserve"> and points between. The barons </w:t>
      </w:r>
      <w:r w:rsidR="009B11C0">
        <w:t xml:space="preserve">stood </w:t>
      </w:r>
      <w:r w:rsidR="00AD00D6">
        <w:t xml:space="preserve">disconcerted. When </w:t>
      </w:r>
      <w:r w:rsidR="009B11C0">
        <w:t xml:space="preserve">having </w:t>
      </w:r>
      <w:r w:rsidR="00AD00D6">
        <w:t xml:space="preserve">their cases heard, they wanted them heard in one place. Though the king might want to travel around and about, they did not – </w:t>
      </w:r>
      <w:r w:rsidR="009B11C0">
        <w:t xml:space="preserve">with little or </w:t>
      </w:r>
      <w:r w:rsidR="00AD00D6">
        <w:t>no notice</w:t>
      </w:r>
      <w:r w:rsidR="009B11C0">
        <w:t xml:space="preserve">, and much </w:t>
      </w:r>
      <w:r w:rsidR="00AD00D6">
        <w:t xml:space="preserve">added expense. </w:t>
      </w:r>
      <w:r w:rsidR="003407C0">
        <w:t xml:space="preserve">That women might be similarly disconcerted by </w:t>
      </w:r>
      <w:r w:rsidR="007878B6">
        <w:t xml:space="preserve">peripatetic </w:t>
      </w:r>
      <w:r w:rsidR="004C5C2B">
        <w:t>disp</w:t>
      </w:r>
      <w:r w:rsidR="009B11C0">
        <w:t>ute settlement</w:t>
      </w:r>
      <w:r w:rsidR="004C5C2B">
        <w:t xml:space="preserve"> was not in barons’ minds</w:t>
      </w:r>
      <w:r w:rsidR="009B11C0">
        <w:t xml:space="preserve"> nor Magna Carta’s lines</w:t>
      </w:r>
      <w:r w:rsidR="004C5C2B">
        <w:t xml:space="preserve">. </w:t>
      </w:r>
      <w:r w:rsidR="002830BF">
        <w:t xml:space="preserve">That women might have legal standing – the right to sue – was not in prospect. </w:t>
      </w:r>
      <w:r w:rsidR="00A15C6D">
        <w:t xml:space="preserve">That women might wish to challenge </w:t>
      </w:r>
      <w:r w:rsidR="002830BF">
        <w:t xml:space="preserve">decisions of </w:t>
      </w:r>
      <w:r w:rsidR="00A15C6D">
        <w:t>government (</w:t>
      </w:r>
      <w:r w:rsidR="002830BF">
        <w:t xml:space="preserve">the king) </w:t>
      </w:r>
      <w:r w:rsidR="00A15C6D">
        <w:t>was beyond</w:t>
      </w:r>
      <w:r w:rsidR="002830BF">
        <w:t xml:space="preserve"> the realms of Magna Carta reality.</w:t>
      </w:r>
      <w:r w:rsidR="00A15C6D">
        <w:t xml:space="preserve"> </w:t>
      </w:r>
      <w:r w:rsidR="00F0760D">
        <w:t>Centuries on</w:t>
      </w:r>
      <w:r w:rsidR="002830BF">
        <w:t>, in</w:t>
      </w:r>
      <w:r w:rsidR="00F0760D">
        <w:t xml:space="preserve"> </w:t>
      </w:r>
      <w:r w:rsidR="002830BF">
        <w:rPr>
          <w:i/>
        </w:rPr>
        <w:t xml:space="preserve">Sex, Power and Justice </w:t>
      </w:r>
      <w:r w:rsidR="002830BF">
        <w:t>… (1995) Greta B</w:t>
      </w:r>
      <w:r w:rsidR="009C5FCD">
        <w:t>ird and Diane Kirkby</w:t>
      </w:r>
      <w:r w:rsidR="002830BF">
        <w:t xml:space="preserve"> </w:t>
      </w:r>
      <w:r w:rsidR="00233F52">
        <w:t>explor</w:t>
      </w:r>
      <w:r w:rsidR="002830BF">
        <w:t>e</w:t>
      </w:r>
      <w:r w:rsidR="009C5FCD">
        <w:t xml:space="preserve"> Indigenous, non-Indigenous and ‘ethnic-background’ women’s </w:t>
      </w:r>
      <w:r w:rsidR="002830BF">
        <w:t xml:space="preserve">legal </w:t>
      </w:r>
      <w:r w:rsidR="00233F52">
        <w:t xml:space="preserve">system </w:t>
      </w:r>
      <w:r w:rsidR="009C5FCD">
        <w:t>experience over</w:t>
      </w:r>
      <w:r w:rsidR="001E7B73">
        <w:t xml:space="preserve"> </w:t>
      </w:r>
      <w:r w:rsidR="009C5FCD">
        <w:t xml:space="preserve">200 years of colonised history;  </w:t>
      </w:r>
      <w:r w:rsidR="002C63CE">
        <w:t>and Australia</w:t>
      </w:r>
      <w:r w:rsidR="002830BF">
        <w:t>n</w:t>
      </w:r>
      <w:r w:rsidR="002C63CE">
        <w:t xml:space="preserve"> and Aotearoa/New Zealand </w:t>
      </w:r>
      <w:r w:rsidR="002830BF">
        <w:t xml:space="preserve">Commission’s </w:t>
      </w:r>
      <w:r w:rsidR="00F0760D">
        <w:t xml:space="preserve">recount obstacles </w:t>
      </w:r>
      <w:r w:rsidR="007E63B6">
        <w:t xml:space="preserve">to justice </w:t>
      </w:r>
      <w:r w:rsidR="00F0760D">
        <w:t>and opportunities</w:t>
      </w:r>
      <w:r w:rsidR="007E63B6">
        <w:t xml:space="preserve"> for access</w:t>
      </w:r>
      <w:r w:rsidR="002C63CE">
        <w:t xml:space="preserve">: </w:t>
      </w:r>
      <w:r w:rsidR="002C63CE">
        <w:rPr>
          <w:i/>
        </w:rPr>
        <w:t xml:space="preserve">Women’s Access to Legal Services </w:t>
      </w:r>
      <w:r w:rsidR="002C63CE">
        <w:t xml:space="preserve">(1999), </w:t>
      </w:r>
      <w:r w:rsidR="002C63CE">
        <w:rPr>
          <w:i/>
        </w:rPr>
        <w:t xml:space="preserve">Women and Access to Justice </w:t>
      </w:r>
      <w:r w:rsidR="002C63CE">
        <w:t xml:space="preserve"> (1995-1999)</w:t>
      </w:r>
      <w:r w:rsidR="007E63B6">
        <w:t xml:space="preserve"> and</w:t>
      </w:r>
      <w:r w:rsidR="002C63CE">
        <w:t xml:space="preserve"> </w:t>
      </w:r>
      <w:r w:rsidR="001E7B73">
        <w:rPr>
          <w:i/>
        </w:rPr>
        <w:t xml:space="preserve">Equality Before the Law </w:t>
      </w:r>
      <w:r w:rsidR="001E7B73">
        <w:t>(1994)</w:t>
      </w:r>
      <w:r w:rsidR="00F0760D">
        <w:t xml:space="preserve">. </w:t>
      </w:r>
      <w:r w:rsidR="006150F9">
        <w:t xml:space="preserve">Similarly the Canadian Advisory Council on the Status of Women </w:t>
      </w:r>
      <w:r w:rsidR="007E63B6">
        <w:t xml:space="preserve">reported on </w:t>
      </w:r>
      <w:r w:rsidR="006150F9">
        <w:rPr>
          <w:i/>
        </w:rPr>
        <w:t xml:space="preserve">Canadian Charter Equality Rights for Women … </w:t>
      </w:r>
      <w:r w:rsidR="006150F9">
        <w:t xml:space="preserve">(1989), and Canada’s </w:t>
      </w:r>
      <w:r w:rsidR="00F0760D">
        <w:t>LEAF research</w:t>
      </w:r>
      <w:r w:rsidR="009E485E">
        <w:t>es</w:t>
      </w:r>
      <w:r w:rsidR="00F0760D">
        <w:t xml:space="preserve"> and promot</w:t>
      </w:r>
      <w:r w:rsidR="009E485E">
        <w:t>es</w:t>
      </w:r>
      <w:r w:rsidR="00F0760D">
        <w:t xml:space="preserve"> legal services and access for women, as in</w:t>
      </w:r>
      <w:r w:rsidR="006B6940">
        <w:t xml:space="preserve"> Alison Brewin’s</w:t>
      </w:r>
      <w:r w:rsidR="00F0760D">
        <w:t xml:space="preserve"> </w:t>
      </w:r>
      <w:r w:rsidR="00F0760D">
        <w:rPr>
          <w:i/>
        </w:rPr>
        <w:t xml:space="preserve">Legal Aid Denied </w:t>
      </w:r>
      <w:r w:rsidR="00F0760D">
        <w:t>(1994)</w:t>
      </w:r>
      <w:r w:rsidR="006150F9">
        <w:t xml:space="preserve">. </w:t>
      </w:r>
      <w:r w:rsidR="00336390">
        <w:t>I</w:t>
      </w:r>
      <w:r w:rsidR="006150F9">
        <w:t xml:space="preserve">n the </w:t>
      </w:r>
      <w:r w:rsidR="008A5744">
        <w:t>US</w:t>
      </w:r>
      <w:r w:rsidR="006150F9">
        <w:t>, states and independent agencies produc</w:t>
      </w:r>
      <w:r w:rsidR="00336390">
        <w:t>e</w:t>
      </w:r>
      <w:r w:rsidR="006150F9">
        <w:t xml:space="preserve"> reports and scholars publish </w:t>
      </w:r>
      <w:r w:rsidR="00336390">
        <w:t xml:space="preserve">on women’s (lack of) access rights </w:t>
      </w:r>
      <w:r w:rsidR="007C02F4">
        <w:t xml:space="preserve">in historical </w:t>
      </w:r>
      <w:r w:rsidR="00D4278F">
        <w:t xml:space="preserve">(Felice Batlan, 2015) </w:t>
      </w:r>
      <w:r w:rsidR="007C02F4">
        <w:t xml:space="preserve">and contemporary </w:t>
      </w:r>
      <w:r w:rsidR="00D4278F">
        <w:t xml:space="preserve">(Deborah L. Rhode, 2002) </w:t>
      </w:r>
      <w:r w:rsidR="007C02F4">
        <w:t>perspective</w:t>
      </w:r>
      <w:r w:rsidR="00336390">
        <w:t>, while i</w:t>
      </w:r>
      <w:r w:rsidR="007C02F4">
        <w:t xml:space="preserve">n </w:t>
      </w:r>
      <w:r w:rsidR="00687BA5">
        <w:t>Britain</w:t>
      </w:r>
      <w:r w:rsidR="007C02F4">
        <w:t xml:space="preserve">, </w:t>
      </w:r>
      <w:r w:rsidR="00336390">
        <w:t xml:space="preserve">amongst others </w:t>
      </w:r>
      <w:r w:rsidR="009E485E">
        <w:t xml:space="preserve">the </w:t>
      </w:r>
      <w:r w:rsidR="008D4043">
        <w:t xml:space="preserve">Fawcett Society and </w:t>
      </w:r>
      <w:r w:rsidR="00FB0DBF">
        <w:t>Rights of Women</w:t>
      </w:r>
      <w:r w:rsidR="008D4043">
        <w:t xml:space="preserve"> </w:t>
      </w:r>
      <w:r w:rsidR="007F2029">
        <w:t>(2002)</w:t>
      </w:r>
      <w:r w:rsidR="00687BA5">
        <w:t xml:space="preserve"> pursue</w:t>
      </w:r>
      <w:r w:rsidR="008D4043">
        <w:t xml:space="preserve"> </w:t>
      </w:r>
      <w:r w:rsidR="00D87D22">
        <w:t>civil interventions</w:t>
      </w:r>
      <w:r w:rsidR="00687BA5">
        <w:t xml:space="preserve"> for women,</w:t>
      </w:r>
      <w:r w:rsidR="00D87D22">
        <w:t xml:space="preserve"> </w:t>
      </w:r>
      <w:r w:rsidR="00687BA5">
        <w:t xml:space="preserve">consistent with </w:t>
      </w:r>
      <w:r w:rsidR="008D4043">
        <w:t>the Magna Carta’s refrain of rights to law and justice</w:t>
      </w:r>
      <w:r w:rsidR="00251F82">
        <w:t>.</w:t>
      </w:r>
      <w:r w:rsidR="00DE3C19">
        <w:rPr>
          <w:rStyle w:val="EndnoteReference"/>
        </w:rPr>
        <w:endnoteReference w:id="12"/>
      </w:r>
      <w:r w:rsidR="008A5744">
        <w:t xml:space="preserve"> </w:t>
      </w:r>
    </w:p>
    <w:p w14:paraId="6B0F7D88" w14:textId="77777777" w:rsidR="004B638A" w:rsidRDefault="004B638A" w:rsidP="006B5FCF">
      <w:pPr>
        <w:spacing w:line="276" w:lineRule="auto"/>
        <w:jc w:val="both"/>
      </w:pPr>
      <w:r>
        <w:t xml:space="preserve">Women’s bodies gained no </w:t>
      </w:r>
      <w:r w:rsidR="00AA75E5">
        <w:t xml:space="preserve">Magna Carta </w:t>
      </w:r>
      <w:r>
        <w:t>mention</w:t>
      </w:r>
      <w:r w:rsidR="00AA75E5">
        <w:t>. W</w:t>
      </w:r>
      <w:r w:rsidR="007C25A0">
        <w:t xml:space="preserve">oman-as-chattel </w:t>
      </w:r>
      <w:r w:rsidR="00AA75E5">
        <w:t>did</w:t>
      </w:r>
      <w:r>
        <w:t xml:space="preserve">. </w:t>
      </w:r>
      <w:r w:rsidR="00A3059E">
        <w:t>W</w:t>
      </w:r>
      <w:r>
        <w:t>omen’s bodies were not their own.</w:t>
      </w:r>
      <w:r w:rsidR="00A3059E">
        <w:t xml:space="preserve"> In </w:t>
      </w:r>
      <w:r w:rsidR="00A3059E">
        <w:rPr>
          <w:i/>
        </w:rPr>
        <w:t xml:space="preserve">The Medieval Vagina … </w:t>
      </w:r>
      <w:r w:rsidR="00A3059E">
        <w:t xml:space="preserve">(2014) </w:t>
      </w:r>
      <w:r w:rsidR="004E04D7">
        <w:t xml:space="preserve">Karen Harris and Lori Caskey-Sigety traverse the ‘women are not men’ </w:t>
      </w:r>
      <w:r w:rsidR="00A3059E">
        <w:t xml:space="preserve">so </w:t>
      </w:r>
      <w:r w:rsidR="004E04D7">
        <w:t>are ‘inferior’</w:t>
      </w:r>
      <w:r w:rsidR="00A72EE3">
        <w:t xml:space="preserve">, their bodies </w:t>
      </w:r>
      <w:r w:rsidR="004E04D7">
        <w:t xml:space="preserve">‘somehow unnatural’. </w:t>
      </w:r>
      <w:r w:rsidR="00A72EE3">
        <w:t xml:space="preserve">Women </w:t>
      </w:r>
      <w:r w:rsidR="009711BC">
        <w:t xml:space="preserve">then, and </w:t>
      </w:r>
      <w:r w:rsidR="00A72EE3">
        <w:t>in the centuries leading up to the twentieth</w:t>
      </w:r>
      <w:r w:rsidR="009711BC">
        <w:t>,</w:t>
      </w:r>
      <w:r w:rsidR="00A72EE3">
        <w:t xml:space="preserve"> protested against the wanton use and abuse of women’s bodies and denial of bodily integrity</w:t>
      </w:r>
      <w:r w:rsidR="009711BC">
        <w:t xml:space="preserve">. In 1975, </w:t>
      </w:r>
      <w:r w:rsidR="00A72EE3">
        <w:t>Susan</w:t>
      </w:r>
      <w:r w:rsidR="006B0D58">
        <w:t xml:space="preserve"> </w:t>
      </w:r>
      <w:r w:rsidR="00A72EE3">
        <w:t xml:space="preserve">Brownmiller’s </w:t>
      </w:r>
      <w:r w:rsidR="00A72EE3">
        <w:rPr>
          <w:i/>
        </w:rPr>
        <w:t>Against Our Will</w:t>
      </w:r>
      <w:r w:rsidR="009711BC">
        <w:rPr>
          <w:i/>
        </w:rPr>
        <w:t xml:space="preserve"> …</w:t>
      </w:r>
      <w:r w:rsidR="00A72EE3">
        <w:t xml:space="preserve"> prompt</w:t>
      </w:r>
      <w:r w:rsidR="0061798A">
        <w:t>ed</w:t>
      </w:r>
      <w:r w:rsidR="00A72EE3">
        <w:t xml:space="preserve"> global adoption of the chant ‘yes means yes, no means no …’</w:t>
      </w:r>
      <w:r w:rsidR="009711BC">
        <w:t xml:space="preserve"> </w:t>
      </w:r>
      <w:r w:rsidR="00A72EE3">
        <w:t xml:space="preserve">Erin Pizzey’s </w:t>
      </w:r>
      <w:r w:rsidR="00A72EE3">
        <w:rPr>
          <w:i/>
        </w:rPr>
        <w:t>Scream Quietly</w:t>
      </w:r>
      <w:r w:rsidR="00E740D6">
        <w:rPr>
          <w:i/>
        </w:rPr>
        <w:t xml:space="preserve"> …</w:t>
      </w:r>
      <w:r w:rsidR="009711BC">
        <w:rPr>
          <w:i/>
        </w:rPr>
        <w:t xml:space="preserve"> </w:t>
      </w:r>
      <w:r w:rsidR="009711BC">
        <w:t xml:space="preserve">(1979) </w:t>
      </w:r>
      <w:r w:rsidR="00A72EE3">
        <w:t xml:space="preserve">and Jocelynne Scutt’s </w:t>
      </w:r>
      <w:r w:rsidR="00A72EE3">
        <w:rPr>
          <w:i/>
        </w:rPr>
        <w:t xml:space="preserve">Even in the Best of Homes </w:t>
      </w:r>
      <w:r w:rsidR="00E740D6">
        <w:rPr>
          <w:i/>
        </w:rPr>
        <w:t>…</w:t>
      </w:r>
      <w:r w:rsidR="006B0D58">
        <w:rPr>
          <w:i/>
        </w:rPr>
        <w:t xml:space="preserve"> </w:t>
      </w:r>
      <w:r w:rsidR="00A72EE3">
        <w:t>(1983) taking th</w:t>
      </w:r>
      <w:r w:rsidR="006B0D58">
        <w:t>e message</w:t>
      </w:r>
      <w:r w:rsidR="00A72EE3">
        <w:t xml:space="preserve"> ‘women’s bodies count’ into UK and Australian homes</w:t>
      </w:r>
      <w:r w:rsidR="006B0D58">
        <w:t xml:space="preserve"> and beyond</w:t>
      </w:r>
      <w:r w:rsidR="00A72EE3">
        <w:t xml:space="preserve">, with Andrea Dworkin’s </w:t>
      </w:r>
      <w:r w:rsidR="006D72D8">
        <w:t>oeuvre</w:t>
      </w:r>
      <w:r w:rsidR="00A72EE3">
        <w:t xml:space="preserve"> extending the </w:t>
      </w:r>
      <w:r w:rsidR="006B0D58">
        <w:t xml:space="preserve">debating </w:t>
      </w:r>
      <w:r w:rsidR="00A72EE3">
        <w:t xml:space="preserve">lines. </w:t>
      </w:r>
      <w:r w:rsidR="004E04D7">
        <w:t xml:space="preserve">Yet women are bound by more than the body construct. Real bonds grow out of physiology and meanings imposed upon biology, as Simone De Beauvoir provocatively </w:t>
      </w:r>
      <w:r w:rsidR="006B0D58">
        <w:t xml:space="preserve">decreed </w:t>
      </w:r>
      <w:r w:rsidR="004E04D7">
        <w:t xml:space="preserve">in </w:t>
      </w:r>
      <w:r w:rsidR="004E04D7">
        <w:rPr>
          <w:i/>
        </w:rPr>
        <w:t>The Second Sex</w:t>
      </w:r>
      <w:r w:rsidR="006B0D58">
        <w:rPr>
          <w:i/>
        </w:rPr>
        <w:t xml:space="preserve"> </w:t>
      </w:r>
      <w:r w:rsidR="006B0D58">
        <w:t>(195</w:t>
      </w:r>
      <w:r w:rsidR="00492904">
        <w:t>3</w:t>
      </w:r>
      <w:r w:rsidR="006B0D58">
        <w:t>)</w:t>
      </w:r>
      <w:r w:rsidR="00492904">
        <w:t xml:space="preserve"> and Germaine Greer in </w:t>
      </w:r>
      <w:r w:rsidR="00492904">
        <w:rPr>
          <w:i/>
        </w:rPr>
        <w:t xml:space="preserve">The Female Eunuch </w:t>
      </w:r>
      <w:r w:rsidR="00492904">
        <w:t xml:space="preserve">(1979), building on </w:t>
      </w:r>
      <w:r w:rsidR="00D41B12">
        <w:t xml:space="preserve">those </w:t>
      </w:r>
      <w:r w:rsidR="00492904">
        <w:t xml:space="preserve">before them, providing </w:t>
      </w:r>
      <w:r w:rsidR="00D41B12">
        <w:t xml:space="preserve">followers </w:t>
      </w:r>
      <w:r w:rsidR="00492904">
        <w:t>a platform</w:t>
      </w:r>
      <w:r w:rsidR="004E04D7">
        <w:rPr>
          <w:i/>
        </w:rPr>
        <w:t xml:space="preserve">. </w:t>
      </w:r>
      <w:r w:rsidR="004E04D7">
        <w:t>Law binds women just as strongly</w:t>
      </w:r>
      <w:r w:rsidR="00D41B12">
        <w:t xml:space="preserve">. For the US, </w:t>
      </w:r>
      <w:r w:rsidR="004E04D7">
        <w:t xml:space="preserve">Catharine Mackinnon’s work </w:t>
      </w:r>
      <w:r w:rsidR="00D41B12">
        <w:t>exemplifies this,</w:t>
      </w:r>
      <w:r w:rsidR="004E04D7">
        <w:t xml:space="preserve"> </w:t>
      </w:r>
      <w:r w:rsidR="00D41B12">
        <w:lastRenderedPageBreak/>
        <w:t xml:space="preserve">while </w:t>
      </w:r>
      <w:r w:rsidR="00A50A53">
        <w:t>Helena Kennedy</w:t>
      </w:r>
      <w:r w:rsidR="00D41B12">
        <w:t xml:space="preserve"> </w:t>
      </w:r>
      <w:r w:rsidR="00A50A53">
        <w:t xml:space="preserve">and </w:t>
      </w:r>
      <w:r w:rsidR="004E04D7">
        <w:t>Susan Edwards</w:t>
      </w:r>
      <w:r w:rsidR="00D41B12">
        <w:t xml:space="preserve">’ UK work, </w:t>
      </w:r>
      <w:r w:rsidR="00803EB5">
        <w:t xml:space="preserve">Mary Jane Mossman’s Canadian scholarship, </w:t>
      </w:r>
      <w:r w:rsidR="00ED3948">
        <w:t xml:space="preserve">Australia’s Scutt, Margaret Thornton, Regina Graycar and Jenny Morgan, </w:t>
      </w:r>
      <w:r w:rsidR="00803EB5">
        <w:t>and Aotearoa/New Zealand</w:t>
      </w:r>
      <w:r w:rsidR="002B7AEE">
        <w:t xml:space="preserve"> scholars</w:t>
      </w:r>
      <w:r w:rsidR="00D41B12">
        <w:t xml:space="preserve"> expand the lines</w:t>
      </w:r>
      <w:r w:rsidR="00803EB5">
        <w:t xml:space="preserve">. </w:t>
      </w:r>
      <w:r w:rsidR="00D41B12">
        <w:t>Making Magna Carta meaningful, c</w:t>
      </w:r>
      <w:r>
        <w:t xml:space="preserve">hapter 6 ‘Bring Up the Bodies’ </w:t>
      </w:r>
      <w:r w:rsidR="0061798A">
        <w:t>relates</w:t>
      </w:r>
      <w:r>
        <w:t xml:space="preserve"> women’s struggle to be free </w:t>
      </w:r>
      <w:r w:rsidR="004911C4">
        <w:t>in</w:t>
      </w:r>
      <w:r>
        <w:t xml:space="preserve"> body and free from the strictures </w:t>
      </w:r>
      <w:r w:rsidR="004911C4">
        <w:t xml:space="preserve">binding </w:t>
      </w:r>
      <w:r>
        <w:t>women’s bodies</w:t>
      </w:r>
      <w:r w:rsidR="0090323D">
        <w:t xml:space="preserve"> in the law and </w:t>
      </w:r>
      <w:r>
        <w:t>to husbands, a central claim in the pantheon of claims for women’s right to be human.</w:t>
      </w:r>
      <w:r w:rsidR="00565D00">
        <w:rPr>
          <w:rStyle w:val="EndnoteReference"/>
        </w:rPr>
        <w:endnoteReference w:id="13"/>
      </w:r>
    </w:p>
    <w:p w14:paraId="4C4FBEFF" w14:textId="77777777" w:rsidR="00086C57" w:rsidRPr="00123FB7" w:rsidRDefault="00086C57" w:rsidP="00086C57">
      <w:pPr>
        <w:jc w:val="both"/>
        <w:rPr>
          <w:u w:val="single"/>
        </w:rPr>
      </w:pPr>
      <w:r w:rsidRPr="00123FB7">
        <w:rPr>
          <w:u w:val="single"/>
        </w:rPr>
        <w:t>Magna Carta – Rights, Wrongs and Women</w:t>
      </w:r>
    </w:p>
    <w:p w14:paraId="2A5F0864" w14:textId="77777777" w:rsidR="00E2389C" w:rsidRDefault="00B12231" w:rsidP="00CF0CF9">
      <w:pPr>
        <w:spacing w:line="276" w:lineRule="auto"/>
        <w:jc w:val="both"/>
      </w:pPr>
      <w:r>
        <w:t>The 800</w:t>
      </w:r>
      <w:r w:rsidRPr="00B12231">
        <w:rPr>
          <w:vertAlign w:val="superscript"/>
        </w:rPr>
        <w:t>th</w:t>
      </w:r>
      <w:r>
        <w:t xml:space="preserve"> anniversary of Magna Carta prompted efforts to ‘write women in’: Louise Wilkinson’s scholarship in recovering John’s daughter, Joan, whom he married to Llywelyn of Wales;  Isabella of Gloucester, John’s first wife and Isabella of Angouleme, his second;  Margaret of Scotland,  John’s hostage;  and Jessica Nelson</w:t>
      </w:r>
      <w:r w:rsidR="00D41B12">
        <w:t>’s</w:t>
      </w:r>
      <w:r>
        <w:t xml:space="preserve"> recognising Isabella, countess of Norfolk</w:t>
      </w:r>
      <w:r w:rsidR="00E2389C">
        <w:t xml:space="preserve"> (younger sister of Margaret and hostage, too)</w:t>
      </w:r>
      <w:r>
        <w:t>, provides a picture of women who</w:t>
      </w:r>
      <w:r w:rsidR="00E2389C">
        <w:t xml:space="preserve">, </w:t>
      </w:r>
      <w:r>
        <w:t>not ciphers or sycophants, were courageous and bold.</w:t>
      </w:r>
      <w:r w:rsidR="006B6AC9">
        <w:rPr>
          <w:rStyle w:val="EndnoteReference"/>
        </w:rPr>
        <w:endnoteReference w:id="14"/>
      </w:r>
      <w:r>
        <w:t xml:space="preserve"> Yet </w:t>
      </w:r>
      <w:r w:rsidR="00E2389C">
        <w:t xml:space="preserve">any brave defiance was just that: </w:t>
      </w:r>
      <w:r>
        <w:t xml:space="preserve">constructed </w:t>
      </w:r>
      <w:r w:rsidR="00E2389C">
        <w:t xml:space="preserve">by and </w:t>
      </w:r>
      <w:r>
        <w:t>against the reality of women rat</w:t>
      </w:r>
      <w:r w:rsidR="00E2389C">
        <w:t>ing</w:t>
      </w:r>
      <w:r>
        <w:t xml:space="preserve"> second, if at all. </w:t>
      </w:r>
      <w:r w:rsidR="00E2389C">
        <w:t xml:space="preserve">Whatever their deeds or derring-do, their diplomacy, debating skills or denunciation of conformity to roles of wife, daughter, mother … they were not equal, nor equals. </w:t>
      </w:r>
      <w:r w:rsidR="00D371F8">
        <w:t xml:space="preserve">Did </w:t>
      </w:r>
      <w:r w:rsidR="00E2389C">
        <w:t xml:space="preserve">they hope </w:t>
      </w:r>
      <w:r w:rsidR="00D41B12">
        <w:t xml:space="preserve">for </w:t>
      </w:r>
      <w:r w:rsidR="00E2389C">
        <w:t>Magna Carta</w:t>
      </w:r>
      <w:r w:rsidR="00D41B12">
        <w:t>’s help</w:t>
      </w:r>
      <w:r w:rsidR="00E2389C">
        <w:t>?</w:t>
      </w:r>
    </w:p>
    <w:p w14:paraId="1AD1B04F" w14:textId="77777777" w:rsidR="00DE0B39" w:rsidRDefault="00D41B12" w:rsidP="00CF0CF9">
      <w:pPr>
        <w:spacing w:line="276" w:lineRule="auto"/>
        <w:jc w:val="both"/>
      </w:pPr>
      <w:r>
        <w:t>M</w:t>
      </w:r>
      <w:r w:rsidR="00D371F8">
        <w:t>id-twentieth century, Mary Ritter Beard recovered women, too. In</w:t>
      </w:r>
      <w:r w:rsidR="00B12231">
        <w:t xml:space="preserve"> </w:t>
      </w:r>
      <w:r w:rsidR="008F7261">
        <w:rPr>
          <w:i/>
        </w:rPr>
        <w:t xml:space="preserve">Woman as Force in </w:t>
      </w:r>
      <w:r w:rsidR="008F7261" w:rsidRPr="008D2649">
        <w:rPr>
          <w:i/>
        </w:rPr>
        <w:t>History</w:t>
      </w:r>
      <w:r w:rsidR="00191B04">
        <w:rPr>
          <w:i/>
        </w:rPr>
        <w:t xml:space="preserve"> </w:t>
      </w:r>
      <w:r w:rsidR="00191B04">
        <w:t>(1946) she reconstituted women’s history to affirm an agency and aptitude conventional history ignored.</w:t>
      </w:r>
      <w:r w:rsidR="00DE0B39" w:rsidRPr="00DE0B39">
        <w:rPr>
          <w:rStyle w:val="EndnoteReference"/>
        </w:rPr>
        <w:t xml:space="preserve"> </w:t>
      </w:r>
      <w:r w:rsidR="00DE0B39">
        <w:rPr>
          <w:rStyle w:val="EndnoteReference"/>
        </w:rPr>
        <w:endnoteReference w:id="15"/>
      </w:r>
      <w:r w:rsidR="00DE0B39">
        <w:t xml:space="preserve"> </w:t>
      </w:r>
      <w:r>
        <w:t>I</w:t>
      </w:r>
      <w:r w:rsidR="00191B04">
        <w:t xml:space="preserve">n turn </w:t>
      </w:r>
      <w:r>
        <w:t xml:space="preserve">affirming </w:t>
      </w:r>
      <w:r w:rsidR="00191B04">
        <w:t>those women who defied restrictions and restraints of legal strictures, social mores and cultural limits</w:t>
      </w:r>
      <w:r w:rsidR="00637C71">
        <w:t>, she followed women who had made</w:t>
      </w:r>
      <w:r>
        <w:t xml:space="preserve"> the</w:t>
      </w:r>
      <w:r w:rsidR="00637C71">
        <w:t xml:space="preserve"> argument before</w:t>
      </w:r>
      <w:r w:rsidR="00191B04">
        <w:t xml:space="preserve">. </w:t>
      </w:r>
      <w:r w:rsidR="00637C71">
        <w:t>One</w:t>
      </w:r>
      <w:r>
        <w:t xml:space="preserve"> </w:t>
      </w:r>
      <w:r w:rsidR="00637C71">
        <w:t xml:space="preserve">such, </w:t>
      </w:r>
      <w:r w:rsidR="00191B04">
        <w:t>Harriet Taylor</w:t>
      </w:r>
      <w:r w:rsidR="00637C71">
        <w:t xml:space="preserve"> (1807-1858),</w:t>
      </w:r>
      <w:r w:rsidR="00191B04">
        <w:t xml:space="preserve"> </w:t>
      </w:r>
      <w:r w:rsidR="005A7816">
        <w:t xml:space="preserve">lived with </w:t>
      </w:r>
      <w:r w:rsidR="00637C71">
        <w:t xml:space="preserve">that </w:t>
      </w:r>
      <w:r w:rsidR="005A7816">
        <w:t>d</w:t>
      </w:r>
      <w:r w:rsidR="00DE0B39">
        <w:t xml:space="preserve">efiance, rejecting notions that, </w:t>
      </w:r>
      <w:r w:rsidR="005A7816">
        <w:t>a married woman, sh</w:t>
      </w:r>
      <w:r w:rsidR="00DE0B39">
        <w:t>e sh</w:t>
      </w:r>
      <w:r w:rsidR="005A7816">
        <w:t>ould share no working intimate relationship with another man. Unlike Wollstonecraft before her, she survived opprobrium or suffered it less: John Stuart Mill’s affirmation of her intellect and her husband’s acceptance of the alliance no doubt tempered scorn or stopped it at its source.</w:t>
      </w:r>
      <w:r w:rsidR="005B5B17">
        <w:t xml:space="preserve"> </w:t>
      </w:r>
    </w:p>
    <w:p w14:paraId="79658137" w14:textId="77777777" w:rsidR="005B5B17" w:rsidRDefault="00DE0B39" w:rsidP="00DE0B39">
      <w:pPr>
        <w:spacing w:line="276" w:lineRule="auto"/>
        <w:jc w:val="both"/>
      </w:pPr>
      <w:r>
        <w:t xml:space="preserve">Published in 1851, Taylor’s </w:t>
      </w:r>
      <w:r w:rsidR="005B5B17">
        <w:t>‘Enfranchisement of Women’ attests to the strength of Magna Carta’s ideas and their impact beyond John, the barons, and Runnymede.</w:t>
      </w:r>
      <w:r>
        <w:t xml:space="preserve"> </w:t>
      </w:r>
      <w:r w:rsidR="005B5B17">
        <w:t xml:space="preserve">Referencing the </w:t>
      </w:r>
      <w:r w:rsidR="005B5B17">
        <w:rPr>
          <w:i/>
        </w:rPr>
        <w:t>New York Tribune</w:t>
      </w:r>
      <w:r w:rsidR="005B5B17">
        <w:t xml:space="preserve">, </w:t>
      </w:r>
      <w:r>
        <w:t xml:space="preserve">she </w:t>
      </w:r>
      <w:r w:rsidR="005B5B17">
        <w:t xml:space="preserve">extolled American women’s organised agitation on a </w:t>
      </w:r>
      <w:r w:rsidR="00371009">
        <w:t>‘</w:t>
      </w:r>
      <w:r w:rsidR="005B5B17">
        <w:t>new question’</w:t>
      </w:r>
      <w:r>
        <w:t xml:space="preserve">, observing </w:t>
      </w:r>
      <w:r w:rsidR="00371009">
        <w:t>i</w:t>
      </w:r>
      <w:r w:rsidR="005B5B17">
        <w:t>t was not ‘new’ to ‘thinkers’ and nor indeed:</w:t>
      </w:r>
    </w:p>
    <w:p w14:paraId="461B15DD" w14:textId="77777777" w:rsidR="005B5B17" w:rsidRDefault="005B5B17" w:rsidP="00D20237">
      <w:pPr>
        <w:spacing w:after="0" w:line="276" w:lineRule="auto"/>
        <w:ind w:left="720"/>
        <w:jc w:val="both"/>
      </w:pPr>
      <w:r>
        <w:t>… to anyone by whom the princ</w:t>
      </w:r>
      <w:r w:rsidR="00CC56D3">
        <w:t>i</w:t>
      </w:r>
      <w:r>
        <w:t>ples of free and popular government are felt as well as a</w:t>
      </w:r>
      <w:r w:rsidR="00CC56D3">
        <w:t>c</w:t>
      </w:r>
      <w:r>
        <w:t>knowledged, but new, and even unheard-of, as a subject for public meetings and practical political action.</w:t>
      </w:r>
      <w:r w:rsidR="00BC0257">
        <w:rPr>
          <w:rStyle w:val="EndnoteReference"/>
        </w:rPr>
        <w:endnoteReference w:id="16"/>
      </w:r>
    </w:p>
    <w:p w14:paraId="182294EE" w14:textId="77777777" w:rsidR="00CC56D3" w:rsidRPr="005B5B17" w:rsidRDefault="00CC56D3" w:rsidP="00D20237">
      <w:pPr>
        <w:spacing w:after="0" w:line="276" w:lineRule="auto"/>
        <w:ind w:left="720"/>
        <w:jc w:val="both"/>
      </w:pPr>
    </w:p>
    <w:p w14:paraId="01B8398B" w14:textId="77777777" w:rsidR="00420F1A" w:rsidRDefault="00D20237" w:rsidP="00420F1A">
      <w:pPr>
        <w:spacing w:after="0" w:line="276" w:lineRule="auto"/>
        <w:jc w:val="both"/>
      </w:pPr>
      <w:r>
        <w:t>The question? Women’s enfranchisement and ‘admission, in law and in fact. To equality in all righ</w:t>
      </w:r>
      <w:r w:rsidR="00371009">
        <w:t>ts, political, civil, and social</w:t>
      </w:r>
      <w:r>
        <w:t>, with … male citizens …’</w:t>
      </w:r>
      <w:r w:rsidR="00420F1A">
        <w:t xml:space="preserve"> The Women’s Rights Convention of 1850 was her touchstone, ‘above a thousand persons … present throughout’ and with a larger venue, ‘many thousands more would have attended’. Like the Seneca Falls Convention of 1848 (of which Taylor had heard nothing), the Declaration incorporated Magna Carta sentiments:</w:t>
      </w:r>
    </w:p>
    <w:p w14:paraId="13843D20" w14:textId="77777777" w:rsidR="006B6AC9" w:rsidRDefault="005B5B17" w:rsidP="001A26FA">
      <w:pPr>
        <w:spacing w:before="100" w:beforeAutospacing="1" w:after="100" w:afterAutospacing="1" w:line="240" w:lineRule="auto"/>
        <w:ind w:left="720"/>
        <w:jc w:val="both"/>
        <w:rPr>
          <w:rFonts w:eastAsia="Times New Roman" w:cs="Arial"/>
          <w:lang w:eastAsia="en-GB"/>
        </w:rPr>
      </w:pPr>
      <w:r w:rsidRPr="005B5B17">
        <w:rPr>
          <w:rFonts w:eastAsia="Times New Roman" w:cs="Arial"/>
          <w:i/>
          <w:iCs/>
          <w:lang w:eastAsia="en-GB"/>
        </w:rPr>
        <w:t>Resolved</w:t>
      </w:r>
      <w:r w:rsidRPr="005B5B17">
        <w:rPr>
          <w:rFonts w:eastAsia="Times New Roman" w:cs="Arial"/>
          <w:lang w:eastAsia="en-GB"/>
        </w:rPr>
        <w:t xml:space="preserve">--That every human being, of full age, and resident for a proper length of time on the soil of the nation, who is required to obey the law, is entitled to a voice in its enactment; that every such person, whose property or labour is taxed for the support of the government, is entitled to a direct share in such governmental; </w:t>
      </w:r>
      <w:r w:rsidR="006B6AC9">
        <w:rPr>
          <w:rFonts w:eastAsia="Times New Roman" w:cs="Arial"/>
          <w:lang w:eastAsia="en-GB"/>
        </w:rPr>
        <w:t xml:space="preserve"> …</w:t>
      </w:r>
    </w:p>
    <w:p w14:paraId="5329ADDF" w14:textId="77777777" w:rsidR="006B6AC9" w:rsidRDefault="006B6AC9" w:rsidP="001A26FA">
      <w:pPr>
        <w:spacing w:before="100" w:beforeAutospacing="1" w:after="100" w:afterAutospacing="1" w:line="240" w:lineRule="auto"/>
        <w:jc w:val="both"/>
        <w:rPr>
          <w:rFonts w:eastAsia="Times New Roman" w:cs="Arial"/>
          <w:iCs/>
          <w:lang w:eastAsia="en-GB"/>
        </w:rPr>
      </w:pPr>
      <w:r>
        <w:rPr>
          <w:rFonts w:eastAsia="Times New Roman" w:cs="Arial"/>
          <w:iCs/>
          <w:lang w:eastAsia="en-GB"/>
        </w:rPr>
        <w:lastRenderedPageBreak/>
        <w:t xml:space="preserve">Yet the Resolution </w:t>
      </w:r>
      <w:r w:rsidR="001A26FA">
        <w:rPr>
          <w:rFonts w:eastAsia="Times New Roman" w:cs="Arial"/>
          <w:iCs/>
          <w:lang w:eastAsia="en-GB"/>
        </w:rPr>
        <w:t xml:space="preserve">went </w:t>
      </w:r>
      <w:r>
        <w:rPr>
          <w:rFonts w:eastAsia="Times New Roman" w:cs="Arial"/>
          <w:iCs/>
          <w:lang w:eastAsia="en-GB"/>
        </w:rPr>
        <w:t>further, claiming women’s entitlement to ‘the right of suffrage, and … eligibl</w:t>
      </w:r>
      <w:r w:rsidR="001A26FA">
        <w:rPr>
          <w:rFonts w:eastAsia="Times New Roman" w:cs="Arial"/>
          <w:iCs/>
          <w:lang w:eastAsia="en-GB"/>
        </w:rPr>
        <w:t>[ity]</w:t>
      </w:r>
      <w:r>
        <w:rPr>
          <w:rFonts w:eastAsia="Times New Roman" w:cs="Arial"/>
          <w:iCs/>
          <w:lang w:eastAsia="en-GB"/>
        </w:rPr>
        <w:t xml:space="preserve"> to office … [with] equality b</w:t>
      </w:r>
      <w:r w:rsidR="001A26FA">
        <w:rPr>
          <w:rFonts w:eastAsia="Times New Roman" w:cs="Arial"/>
          <w:iCs/>
          <w:lang w:eastAsia="en-GB"/>
        </w:rPr>
        <w:t>e</w:t>
      </w:r>
      <w:r>
        <w:rPr>
          <w:rFonts w:eastAsia="Times New Roman" w:cs="Arial"/>
          <w:iCs/>
          <w:lang w:eastAsia="en-GB"/>
        </w:rPr>
        <w:t xml:space="preserve">fore the law, without distinction of sex or colour’ </w:t>
      </w:r>
      <w:r w:rsidR="001A26FA">
        <w:rPr>
          <w:rFonts w:eastAsia="Times New Roman" w:cs="Arial"/>
          <w:iCs/>
          <w:lang w:eastAsia="en-GB"/>
        </w:rPr>
        <w:t xml:space="preserve">must emblazon </w:t>
      </w:r>
      <w:r>
        <w:rPr>
          <w:rFonts w:eastAsia="Times New Roman" w:cs="Arial"/>
          <w:iCs/>
          <w:lang w:eastAsia="en-GB"/>
        </w:rPr>
        <w:t>every party</w:t>
      </w:r>
      <w:r w:rsidR="001A26FA">
        <w:rPr>
          <w:rFonts w:eastAsia="Times New Roman" w:cs="Arial"/>
          <w:iCs/>
          <w:lang w:eastAsia="en-GB"/>
        </w:rPr>
        <w:t>’s banner</w:t>
      </w:r>
      <w:r>
        <w:rPr>
          <w:rFonts w:eastAsia="Times New Roman" w:cs="Arial"/>
          <w:iCs/>
          <w:lang w:eastAsia="en-GB"/>
        </w:rPr>
        <w:t xml:space="preserve"> claiming to ‘represent the humanity, the civilization, and the prog</w:t>
      </w:r>
      <w:r w:rsidR="001A26FA">
        <w:rPr>
          <w:rFonts w:eastAsia="Times New Roman" w:cs="Arial"/>
          <w:iCs/>
          <w:lang w:eastAsia="en-GB"/>
        </w:rPr>
        <w:t>r</w:t>
      </w:r>
      <w:r>
        <w:rPr>
          <w:rFonts w:eastAsia="Times New Roman" w:cs="Arial"/>
          <w:iCs/>
          <w:lang w:eastAsia="en-GB"/>
        </w:rPr>
        <w:t>ess of the age …’</w:t>
      </w:r>
      <w:r w:rsidR="001A26FA">
        <w:rPr>
          <w:rFonts w:eastAsia="Times New Roman" w:cs="Arial"/>
          <w:iCs/>
          <w:lang w:eastAsia="en-GB"/>
        </w:rPr>
        <w:t xml:space="preserve"> </w:t>
      </w:r>
      <w:r w:rsidR="00DE0B39">
        <w:rPr>
          <w:rFonts w:eastAsia="Times New Roman" w:cs="Arial"/>
          <w:iCs/>
          <w:lang w:eastAsia="en-GB"/>
        </w:rPr>
        <w:t xml:space="preserve">More, </w:t>
      </w:r>
      <w:r w:rsidR="001A26FA">
        <w:rPr>
          <w:rFonts w:eastAsia="Times New Roman" w:cs="Arial"/>
          <w:iCs/>
          <w:lang w:eastAsia="en-GB"/>
        </w:rPr>
        <w:t>‘</w:t>
      </w:r>
      <w:r>
        <w:rPr>
          <w:rFonts w:eastAsia="Times New Roman" w:cs="Arial"/>
          <w:iCs/>
          <w:lang w:eastAsia="en-GB"/>
        </w:rPr>
        <w:t>… civil and political rights acknowledg[ing] no sex, … the word ‘male’ should be struck from every State Constitution …</w:t>
      </w:r>
      <w:r w:rsidR="001A26FA">
        <w:rPr>
          <w:rFonts w:eastAsia="Times New Roman" w:cs="Arial"/>
          <w:iCs/>
          <w:lang w:eastAsia="en-GB"/>
        </w:rPr>
        <w:t>’</w:t>
      </w:r>
    </w:p>
    <w:p w14:paraId="01002C2B" w14:textId="77777777" w:rsidR="00BA25AE" w:rsidRDefault="001A26FA" w:rsidP="001A26FA">
      <w:pPr>
        <w:spacing w:before="100" w:beforeAutospacing="1" w:after="100" w:afterAutospacing="1" w:line="240" w:lineRule="auto"/>
        <w:jc w:val="both"/>
        <w:rPr>
          <w:rFonts w:eastAsia="Times New Roman" w:cs="Arial"/>
          <w:iCs/>
          <w:lang w:eastAsia="en-GB"/>
        </w:rPr>
      </w:pPr>
      <w:r>
        <w:rPr>
          <w:rFonts w:eastAsia="Times New Roman" w:cs="Arial"/>
          <w:iCs/>
          <w:lang w:eastAsia="en-GB"/>
        </w:rPr>
        <w:t xml:space="preserve">Yet Taylor’s confidence that ‘man’ </w:t>
      </w:r>
      <w:r w:rsidR="005670A4">
        <w:rPr>
          <w:rFonts w:eastAsia="Times New Roman" w:cs="Arial"/>
          <w:iCs/>
          <w:lang w:eastAsia="en-GB"/>
        </w:rPr>
        <w:t>would not be limited to the male sex when women proclaimed the ‘self-evident’ truth, ‘that all men are created equal [and] endowed with … inalienable rights …’</w:t>
      </w:r>
      <w:r w:rsidR="00BA25AE">
        <w:rPr>
          <w:rFonts w:eastAsia="Times New Roman" w:cs="Arial"/>
          <w:iCs/>
          <w:lang w:eastAsia="en-GB"/>
        </w:rPr>
        <w:t xml:space="preserve"> </w:t>
      </w:r>
      <w:r w:rsidR="00DE0B39">
        <w:rPr>
          <w:rFonts w:eastAsia="Times New Roman" w:cs="Arial"/>
          <w:iCs/>
          <w:lang w:eastAsia="en-GB"/>
        </w:rPr>
        <w:t xml:space="preserve">was misplaced. </w:t>
      </w:r>
      <w:r w:rsidR="00BA25AE">
        <w:rPr>
          <w:rFonts w:eastAsia="Times New Roman" w:cs="Arial"/>
          <w:iCs/>
          <w:lang w:eastAsia="en-GB"/>
        </w:rPr>
        <w:t xml:space="preserve">The struggle was not over, </w:t>
      </w:r>
      <w:r w:rsidR="00DE0B39">
        <w:rPr>
          <w:rFonts w:eastAsia="Times New Roman" w:cs="Arial"/>
          <w:iCs/>
          <w:lang w:eastAsia="en-GB"/>
        </w:rPr>
        <w:t xml:space="preserve">women’s </w:t>
      </w:r>
      <w:r w:rsidR="00BA25AE">
        <w:rPr>
          <w:rFonts w:eastAsia="Times New Roman" w:cs="Arial"/>
          <w:iCs/>
          <w:lang w:eastAsia="en-GB"/>
        </w:rPr>
        <w:t>non-personhood a</w:t>
      </w:r>
      <w:r w:rsidR="00DE0B39">
        <w:rPr>
          <w:rFonts w:eastAsia="Times New Roman" w:cs="Arial"/>
          <w:iCs/>
          <w:lang w:eastAsia="en-GB"/>
        </w:rPr>
        <w:t xml:space="preserve">n obstacle to </w:t>
      </w:r>
      <w:r w:rsidR="00BA25AE">
        <w:rPr>
          <w:rFonts w:eastAsia="Times New Roman" w:cs="Arial"/>
          <w:iCs/>
          <w:lang w:eastAsia="en-GB"/>
        </w:rPr>
        <w:t xml:space="preserve">their claims. </w:t>
      </w:r>
    </w:p>
    <w:p w14:paraId="7EAB0D2A" w14:textId="77777777" w:rsidR="0033445F" w:rsidRDefault="00BA25AE" w:rsidP="00BA25AE">
      <w:pPr>
        <w:spacing w:before="100" w:beforeAutospacing="1" w:after="100" w:afterAutospacing="1" w:line="240" w:lineRule="auto"/>
        <w:jc w:val="both"/>
      </w:pPr>
      <w:r>
        <w:rPr>
          <w:rFonts w:eastAsia="Times New Roman" w:cs="Arial"/>
          <w:iCs/>
          <w:lang w:eastAsia="en-GB"/>
        </w:rPr>
        <w:t xml:space="preserve">So, more than 150 years after Taylor’s hopes, and </w:t>
      </w:r>
      <w:r w:rsidR="004B638A">
        <w:t>e</w:t>
      </w:r>
      <w:r w:rsidR="00F5755F">
        <w:t xml:space="preserve">ight hundred years after John signed at </w:t>
      </w:r>
      <w:r w:rsidR="00102581">
        <w:t>Runnymede</w:t>
      </w:r>
      <w:r w:rsidR="00DE0B39">
        <w:t xml:space="preserve"> under the eyes of</w:t>
      </w:r>
      <w:r w:rsidR="00F5755F">
        <w:t xml:space="preserve"> barons intent on advancing their rights, is </w:t>
      </w:r>
      <w:r w:rsidR="00AD09AF">
        <w:t xml:space="preserve">Magna Carta relevant today’s women? </w:t>
      </w:r>
      <w:r w:rsidR="00D570CA">
        <w:t>In ‘Magna Carta in the Twentieth and Twenty First Centuries’, Michael Beloff</w:t>
      </w:r>
      <w:r w:rsidR="00DE0B39">
        <w:t xml:space="preserve"> </w:t>
      </w:r>
      <w:r w:rsidR="00D570CA">
        <w:t>avers its role ‘as an always speaking statute’: Magna Carta ‘should be given its current, not simply its historic meaning’.</w:t>
      </w:r>
      <w:r w:rsidR="00D570CA">
        <w:rPr>
          <w:rStyle w:val="EndnoteReference"/>
        </w:rPr>
        <w:endnoteReference w:id="17"/>
      </w:r>
      <w:r w:rsidR="00D570CA">
        <w:t xml:space="preserve"> </w:t>
      </w:r>
      <w:r w:rsidR="00C326CD">
        <w:t xml:space="preserve">How then does Magna Carta in its past and current meanings speak for women? </w:t>
      </w:r>
      <w:r w:rsidR="0018099B">
        <w:t>Taking Holt’s applause for its adaptability (2015), i</w:t>
      </w:r>
      <w:r w:rsidR="00AD09AF">
        <w:t>s</w:t>
      </w:r>
      <w:r w:rsidR="004B638A">
        <w:t xml:space="preserve"> Magna Carta</w:t>
      </w:r>
      <w:r w:rsidR="00F5755F">
        <w:t xml:space="preserve"> a</w:t>
      </w:r>
      <w:r w:rsidR="00177EF1">
        <w:t xml:space="preserve"> charter </w:t>
      </w:r>
      <w:r w:rsidR="00F5755F">
        <w:t xml:space="preserve">for </w:t>
      </w:r>
      <w:r w:rsidR="004B638A">
        <w:t xml:space="preserve">advancing women’s </w:t>
      </w:r>
      <w:r w:rsidR="00F5755F">
        <w:t xml:space="preserve">rights or </w:t>
      </w:r>
      <w:r w:rsidR="00177EF1">
        <w:t xml:space="preserve">a licence </w:t>
      </w:r>
      <w:r w:rsidR="004B638A">
        <w:t xml:space="preserve">for affirming women’s </w:t>
      </w:r>
      <w:r w:rsidR="00F5755F">
        <w:t>wrongs?</w:t>
      </w:r>
    </w:p>
    <w:p w14:paraId="0324F029" w14:textId="77777777" w:rsidR="00142AFB" w:rsidRPr="00D4278F" w:rsidRDefault="00142AFB" w:rsidP="00F8338A">
      <w:pPr>
        <w:spacing w:line="276" w:lineRule="auto"/>
        <w:jc w:val="both"/>
        <w:rPr>
          <w:sz w:val="20"/>
          <w:szCs w:val="20"/>
        </w:rPr>
      </w:pPr>
      <w:r>
        <w:rPr>
          <w:rFonts w:ascii="Arial" w:hAnsi="Arial" w:cs="Arial"/>
          <w:color w:val="000000"/>
          <w:sz w:val="15"/>
          <w:szCs w:val="15"/>
        </w:rPr>
        <w:br w:type="textWrapping" w:clear="all"/>
      </w:r>
    </w:p>
    <w:sectPr w:rsidR="00142AFB" w:rsidRPr="00D4278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75DD" w14:textId="77777777" w:rsidR="0061798A" w:rsidRDefault="0061798A" w:rsidP="0033445F">
      <w:pPr>
        <w:spacing w:after="0" w:line="240" w:lineRule="auto"/>
      </w:pPr>
      <w:r>
        <w:separator/>
      </w:r>
    </w:p>
  </w:endnote>
  <w:endnote w:type="continuationSeparator" w:id="0">
    <w:p w14:paraId="311FC4FE" w14:textId="77777777" w:rsidR="0061798A" w:rsidRDefault="0061798A" w:rsidP="0033445F">
      <w:pPr>
        <w:spacing w:after="0" w:line="240" w:lineRule="auto"/>
      </w:pPr>
      <w:r>
        <w:continuationSeparator/>
      </w:r>
    </w:p>
  </w:endnote>
  <w:endnote w:id="1">
    <w:p w14:paraId="3D21A76D" w14:textId="77777777" w:rsidR="0061798A" w:rsidRPr="006F1FE0" w:rsidRDefault="0061798A" w:rsidP="00ED05B8">
      <w:pPr>
        <w:pStyle w:val="EndnoteText"/>
        <w:jc w:val="both"/>
      </w:pPr>
      <w:r>
        <w:rPr>
          <w:rStyle w:val="EndnoteReference"/>
        </w:rPr>
        <w:endnoteRef/>
      </w:r>
      <w:r>
        <w:t xml:space="preserve">  Henrietta Leyser, </w:t>
      </w:r>
      <w:r>
        <w:rPr>
          <w:i/>
        </w:rPr>
        <w:t>Medieval Women – A Social History of Women in England 450-1500</w:t>
      </w:r>
      <w:r>
        <w:t>, Weidenfeld &amp; Nicolson, London, UK, 1995, p. 93.</w:t>
      </w:r>
    </w:p>
  </w:endnote>
  <w:endnote w:id="2">
    <w:p w14:paraId="4F20D2A5" w14:textId="77777777" w:rsidR="0061798A" w:rsidRDefault="0061798A" w:rsidP="00ED05B8">
      <w:pPr>
        <w:spacing w:after="0" w:line="240" w:lineRule="auto"/>
        <w:jc w:val="both"/>
      </w:pPr>
      <w:r>
        <w:rPr>
          <w:rStyle w:val="EndnoteReference"/>
        </w:rPr>
        <w:endnoteRef/>
      </w:r>
      <w:r>
        <w:t xml:space="preserve"> </w:t>
      </w:r>
      <w:r>
        <w:rPr>
          <w:sz w:val="20"/>
          <w:szCs w:val="20"/>
        </w:rPr>
        <w:t xml:space="preserve">Louise Wilkinson, ‘Lady Nicholaa de la Haye (b. before 1169 – d. 1230)’, </w:t>
      </w:r>
      <w:r>
        <w:rPr>
          <w:i/>
          <w:sz w:val="20"/>
          <w:szCs w:val="20"/>
        </w:rPr>
        <w:t>Magna Carta – Foundation of Liberty</w:t>
      </w:r>
      <w:r>
        <w:rPr>
          <w:sz w:val="20"/>
          <w:szCs w:val="20"/>
        </w:rPr>
        <w:t xml:space="preserve">, </w:t>
      </w:r>
      <w:hyperlink r:id="rId1" w:history="1">
        <w:r w:rsidRPr="009A27C2">
          <w:rPr>
            <w:rStyle w:val="Hyperlink"/>
            <w:sz w:val="20"/>
            <w:szCs w:val="20"/>
          </w:rPr>
          <w:t>http://magnacarta800th.com/schools/biographies/women-of-magna-carta/lady-nicholaa-de-la-haye/</w:t>
        </w:r>
      </w:hyperlink>
      <w:r>
        <w:rPr>
          <w:sz w:val="20"/>
          <w:szCs w:val="20"/>
        </w:rPr>
        <w:t xml:space="preserve"> (accessed 2 July 2015);  </w:t>
      </w:r>
      <w:r w:rsidRPr="00F448D1">
        <w:rPr>
          <w:sz w:val="20"/>
          <w:szCs w:val="20"/>
        </w:rPr>
        <w:t xml:space="preserve">LJ Wilkinson, ‘Women as Sheriffs in Early Thirteenth-Century England’ in Adrian Jobson (ed.), </w:t>
      </w:r>
      <w:r w:rsidRPr="00F448D1">
        <w:rPr>
          <w:i/>
          <w:iCs/>
          <w:sz w:val="20"/>
          <w:szCs w:val="20"/>
        </w:rPr>
        <w:t>English Government in the Thirteenth Century</w:t>
      </w:r>
      <w:r w:rsidRPr="00F448D1">
        <w:rPr>
          <w:iCs/>
          <w:sz w:val="20"/>
          <w:szCs w:val="20"/>
        </w:rPr>
        <w:t xml:space="preserve">, Boydell and Brewer, London, UK, </w:t>
      </w:r>
      <w:r w:rsidRPr="00F448D1">
        <w:rPr>
          <w:sz w:val="20"/>
          <w:szCs w:val="20"/>
        </w:rPr>
        <w:t xml:space="preserve">2004, pp. 111-24.  </w:t>
      </w:r>
    </w:p>
  </w:endnote>
  <w:endnote w:id="3">
    <w:p w14:paraId="393DD9CF" w14:textId="77777777" w:rsidR="0061798A" w:rsidRPr="007D11AA" w:rsidRDefault="0061798A" w:rsidP="00780565">
      <w:pPr>
        <w:pStyle w:val="EndnoteText"/>
        <w:jc w:val="both"/>
      </w:pPr>
      <w:r>
        <w:rPr>
          <w:rStyle w:val="EndnoteReference"/>
        </w:rPr>
        <w:endnoteRef/>
      </w:r>
      <w:r>
        <w:t xml:space="preserve"> Ian Mortimer, </w:t>
      </w:r>
      <w:r>
        <w:rPr>
          <w:i/>
        </w:rPr>
        <w:t>The Time Traveller’s Guide to Medieval England</w:t>
      </w:r>
      <w:r>
        <w:t xml:space="preserve">, Vintage Books, London, 2009, p. 53; </w:t>
      </w:r>
      <w:r w:rsidR="005521E9">
        <w:t xml:space="preserve"> Margery Kempe, </w:t>
      </w:r>
      <w:r w:rsidRPr="005521E9">
        <w:rPr>
          <w:i/>
        </w:rPr>
        <w:t xml:space="preserve">The </w:t>
      </w:r>
      <w:r>
        <w:rPr>
          <w:i/>
        </w:rPr>
        <w:t>Book of Margery Kempe</w:t>
      </w:r>
      <w:r>
        <w:t xml:space="preserve">, Annotated Edn, Barry Windeatt (ed.), DS Brewer, Cambridge, UK, 2004;  Catholic Encyclopedia, </w:t>
      </w:r>
      <w:r>
        <w:rPr>
          <w:i/>
        </w:rPr>
        <w:t>St Hildegard</w:t>
      </w:r>
      <w:r>
        <w:t xml:space="preserve">, </w:t>
      </w:r>
      <w:hyperlink r:id="rId2" w:history="1">
        <w:r w:rsidRPr="00F70C61">
          <w:rPr>
            <w:rStyle w:val="Hyperlink"/>
          </w:rPr>
          <w:t>http://www.newadvent.org/cathen/07351a.htm</w:t>
        </w:r>
      </w:hyperlink>
      <w:r>
        <w:t xml:space="preserve"> (accessed 3 July 2015);  Catholic Encyclopedia, </w:t>
      </w:r>
      <w:r>
        <w:rPr>
          <w:i/>
        </w:rPr>
        <w:t>St Elizabeth of Shonau</w:t>
      </w:r>
      <w:r>
        <w:t xml:space="preserve">, </w:t>
      </w:r>
      <w:hyperlink r:id="rId3" w:history="1">
        <w:r w:rsidRPr="00F70C61">
          <w:rPr>
            <w:rStyle w:val="Hyperlink"/>
          </w:rPr>
          <w:t>http://www.newadvent.org/cathen/05392a.htm</w:t>
        </w:r>
      </w:hyperlink>
      <w:r>
        <w:t xml:space="preserve"> (accessed 3 July 2015).</w:t>
      </w:r>
    </w:p>
  </w:endnote>
  <w:endnote w:id="4">
    <w:p w14:paraId="14D9BA2F" w14:textId="77777777" w:rsidR="0061798A" w:rsidRPr="00446F62" w:rsidRDefault="0061798A" w:rsidP="00780565">
      <w:pPr>
        <w:pStyle w:val="EndnoteText"/>
        <w:jc w:val="both"/>
      </w:pPr>
      <w:r>
        <w:rPr>
          <w:rStyle w:val="EndnoteReference"/>
        </w:rPr>
        <w:endnoteRef/>
      </w:r>
      <w:r>
        <w:t xml:space="preserve"> Mortimer, </w:t>
      </w:r>
      <w:r>
        <w:rPr>
          <w:i/>
        </w:rPr>
        <w:t>The Time Traveller’s Guide …</w:t>
      </w:r>
      <w:r>
        <w:t>, 2009, p. 55.</w:t>
      </w:r>
    </w:p>
  </w:endnote>
  <w:endnote w:id="5">
    <w:p w14:paraId="7FC86AB2" w14:textId="77777777" w:rsidR="0061798A" w:rsidRPr="006B2667" w:rsidRDefault="0061798A" w:rsidP="008B388A">
      <w:pPr>
        <w:pStyle w:val="EndnoteText"/>
        <w:jc w:val="both"/>
      </w:pPr>
      <w:r>
        <w:rPr>
          <w:rStyle w:val="EndnoteReference"/>
        </w:rPr>
        <w:endnoteRef/>
      </w:r>
      <w:r>
        <w:t xml:space="preserve"> Joel Barlow, </w:t>
      </w:r>
      <w:r>
        <w:rPr>
          <w:i/>
        </w:rPr>
        <w:t>Advice to the Privileged Orders</w:t>
      </w:r>
      <w:r>
        <w:t xml:space="preserve">, Joseph Johnson Publisher, London, UK, 1792;  cited Lyndall Gordon, </w:t>
      </w:r>
      <w:r>
        <w:rPr>
          <w:i/>
        </w:rPr>
        <w:t>Vindication – A Life of Mary Wollstonecraft</w:t>
      </w:r>
      <w:r>
        <w:t>, Virago, London, 2005, p. 164.</w:t>
      </w:r>
    </w:p>
  </w:endnote>
  <w:endnote w:id="6">
    <w:p w14:paraId="46B235C2" w14:textId="77777777" w:rsidR="0061798A" w:rsidRDefault="0061798A" w:rsidP="008B388A">
      <w:pPr>
        <w:spacing w:after="0" w:line="276" w:lineRule="auto"/>
        <w:jc w:val="both"/>
      </w:pPr>
      <w:r>
        <w:rPr>
          <w:rStyle w:val="EndnoteReference"/>
        </w:rPr>
        <w:endnoteRef/>
      </w:r>
      <w:r>
        <w:t xml:space="preserve">  </w:t>
      </w:r>
      <w:r w:rsidRPr="00A75CCD">
        <w:rPr>
          <w:sz w:val="20"/>
          <w:szCs w:val="20"/>
        </w:rPr>
        <w:t>Judith M. Bennett and Ruth Mazo Karras</w:t>
      </w:r>
      <w:r>
        <w:rPr>
          <w:sz w:val="20"/>
          <w:szCs w:val="20"/>
        </w:rPr>
        <w:t xml:space="preserve">, </w:t>
      </w:r>
      <w:r w:rsidRPr="00A75CCD">
        <w:rPr>
          <w:i/>
          <w:sz w:val="20"/>
          <w:szCs w:val="20"/>
        </w:rPr>
        <w:t>The Oxford Handbook of Women and Gender in Medieval Europe</w:t>
      </w:r>
      <w:r w:rsidRPr="00A75CCD">
        <w:rPr>
          <w:sz w:val="20"/>
          <w:szCs w:val="20"/>
        </w:rPr>
        <w:t xml:space="preserve">, </w:t>
      </w:r>
      <w:r>
        <w:rPr>
          <w:sz w:val="20"/>
          <w:szCs w:val="20"/>
        </w:rPr>
        <w:t xml:space="preserve">   Oxford University Press, Oxford, UK, 2013;  </w:t>
      </w:r>
      <w:r w:rsidRPr="00A75CCD">
        <w:rPr>
          <w:sz w:val="20"/>
          <w:szCs w:val="20"/>
        </w:rPr>
        <w:t>Vicki Leon</w:t>
      </w:r>
      <w:r>
        <w:rPr>
          <w:sz w:val="20"/>
          <w:szCs w:val="20"/>
        </w:rPr>
        <w:t xml:space="preserve">, </w:t>
      </w:r>
      <w:r w:rsidRPr="00A75CCD">
        <w:rPr>
          <w:i/>
          <w:sz w:val="20"/>
          <w:szCs w:val="20"/>
        </w:rPr>
        <w:t>Outrageous Women of the Middle Ages</w:t>
      </w:r>
      <w:r w:rsidRPr="00A75CCD">
        <w:rPr>
          <w:sz w:val="20"/>
          <w:szCs w:val="20"/>
        </w:rPr>
        <w:t xml:space="preserve">, </w:t>
      </w:r>
      <w:r>
        <w:rPr>
          <w:sz w:val="20"/>
          <w:szCs w:val="20"/>
        </w:rPr>
        <w:t xml:space="preserve">John Wiley, New York, NY, 1998;  </w:t>
      </w:r>
      <w:r w:rsidRPr="00A75CCD">
        <w:rPr>
          <w:sz w:val="20"/>
          <w:szCs w:val="20"/>
        </w:rPr>
        <w:t>Mar</w:t>
      </w:r>
      <w:r>
        <w:rPr>
          <w:sz w:val="20"/>
          <w:szCs w:val="20"/>
        </w:rPr>
        <w:t>c</w:t>
      </w:r>
      <w:r w:rsidRPr="00A75CCD">
        <w:rPr>
          <w:sz w:val="20"/>
          <w:szCs w:val="20"/>
        </w:rPr>
        <w:t>elle The</w:t>
      </w:r>
      <w:r>
        <w:rPr>
          <w:sz w:val="20"/>
          <w:szCs w:val="20"/>
        </w:rPr>
        <w:t>i</w:t>
      </w:r>
      <w:r w:rsidRPr="00A75CCD">
        <w:rPr>
          <w:sz w:val="20"/>
          <w:szCs w:val="20"/>
        </w:rPr>
        <w:t xml:space="preserve">baux, </w:t>
      </w:r>
      <w:r w:rsidRPr="00A75CCD">
        <w:rPr>
          <w:i/>
          <w:sz w:val="20"/>
          <w:szCs w:val="20"/>
        </w:rPr>
        <w:t>The Writings of Medieval Women: An Anthology</w:t>
      </w:r>
      <w:r w:rsidRPr="00A75CCD">
        <w:rPr>
          <w:sz w:val="20"/>
          <w:szCs w:val="20"/>
        </w:rPr>
        <w:t>,</w:t>
      </w:r>
      <w:r>
        <w:rPr>
          <w:sz w:val="20"/>
          <w:szCs w:val="20"/>
        </w:rPr>
        <w:t xml:space="preserve"> 2</w:t>
      </w:r>
      <w:r w:rsidRPr="005C4FBB">
        <w:rPr>
          <w:sz w:val="20"/>
          <w:szCs w:val="20"/>
          <w:vertAlign w:val="superscript"/>
        </w:rPr>
        <w:t>nd</w:t>
      </w:r>
      <w:r>
        <w:rPr>
          <w:sz w:val="20"/>
          <w:szCs w:val="20"/>
        </w:rPr>
        <w:t xml:space="preserve"> edn, Routledge, London, UK, 1994.</w:t>
      </w:r>
    </w:p>
  </w:endnote>
  <w:endnote w:id="7">
    <w:p w14:paraId="3DC5407F" w14:textId="77777777" w:rsidR="0061798A" w:rsidRDefault="0061798A" w:rsidP="00DD421D">
      <w:pPr>
        <w:pStyle w:val="EndnoteText"/>
        <w:jc w:val="both"/>
      </w:pPr>
      <w:r>
        <w:rPr>
          <w:rStyle w:val="EndnoteReference"/>
        </w:rPr>
        <w:endnoteRef/>
      </w:r>
      <w:r>
        <w:t xml:space="preserve"> Eileen Power, </w:t>
      </w:r>
      <w:r>
        <w:rPr>
          <w:i/>
        </w:rPr>
        <w:t>Medieval Women</w:t>
      </w:r>
      <w:r>
        <w:t xml:space="preserve">, MM Postan, ed, Cambridge University Press, Cambridge, UK, 1995, p. 1;  Eileen Power, </w:t>
      </w:r>
      <w:r>
        <w:rPr>
          <w:i/>
        </w:rPr>
        <w:t>Medieval English Nunneries c. 1275 to 1535</w:t>
      </w:r>
      <w:r>
        <w:t xml:space="preserve">, The University Press, Cambridge, 1922.    </w:t>
      </w:r>
    </w:p>
  </w:endnote>
  <w:endnote w:id="8">
    <w:p w14:paraId="53482CFD" w14:textId="77777777" w:rsidR="0061798A" w:rsidRPr="00D964D0" w:rsidRDefault="0061798A" w:rsidP="007827DA">
      <w:pPr>
        <w:spacing w:after="0" w:line="276" w:lineRule="auto"/>
        <w:jc w:val="both"/>
        <w:rPr>
          <w:sz w:val="20"/>
          <w:szCs w:val="20"/>
        </w:rPr>
      </w:pPr>
      <w:r w:rsidRPr="00D964D0">
        <w:rPr>
          <w:rStyle w:val="EndnoteReference"/>
          <w:sz w:val="20"/>
          <w:szCs w:val="20"/>
        </w:rPr>
        <w:endnoteRef/>
      </w:r>
      <w:r w:rsidRPr="00D964D0">
        <w:rPr>
          <w:sz w:val="20"/>
          <w:szCs w:val="20"/>
        </w:rPr>
        <w:t xml:space="preserve"> Barbara </w:t>
      </w:r>
      <w:r w:rsidR="005521E9">
        <w:rPr>
          <w:sz w:val="20"/>
          <w:szCs w:val="20"/>
        </w:rPr>
        <w:t>Leigh</w:t>
      </w:r>
      <w:r w:rsidR="00FF1C12">
        <w:rPr>
          <w:sz w:val="20"/>
          <w:szCs w:val="20"/>
        </w:rPr>
        <w:t>-</w:t>
      </w:r>
      <w:r w:rsidR="005521E9">
        <w:rPr>
          <w:sz w:val="20"/>
          <w:szCs w:val="20"/>
        </w:rPr>
        <w:t xml:space="preserve">Smith </w:t>
      </w:r>
      <w:r w:rsidRPr="00D964D0">
        <w:rPr>
          <w:sz w:val="20"/>
          <w:szCs w:val="20"/>
        </w:rPr>
        <w:t xml:space="preserve">Bodichon, </w:t>
      </w:r>
      <w:r w:rsidRPr="00D964D0">
        <w:rPr>
          <w:i/>
          <w:sz w:val="20"/>
          <w:szCs w:val="20"/>
        </w:rPr>
        <w:t>Brief Summary, in Plain Language, of the Most Important Laws of England concerning Women</w:t>
      </w:r>
      <w:r w:rsidRPr="00D964D0">
        <w:rPr>
          <w:sz w:val="20"/>
          <w:szCs w:val="20"/>
        </w:rPr>
        <w:t xml:space="preserve">, </w:t>
      </w:r>
      <w:r>
        <w:rPr>
          <w:sz w:val="20"/>
          <w:szCs w:val="20"/>
        </w:rPr>
        <w:t xml:space="preserve">J. Chapman, London, UK, </w:t>
      </w:r>
      <w:r w:rsidRPr="00D964D0">
        <w:rPr>
          <w:sz w:val="20"/>
          <w:szCs w:val="20"/>
        </w:rPr>
        <w:t>1854</w:t>
      </w:r>
      <w:r w:rsidR="005521E9">
        <w:rPr>
          <w:sz w:val="20"/>
          <w:szCs w:val="20"/>
        </w:rPr>
        <w:t xml:space="preserve">, </w:t>
      </w:r>
      <w:r w:rsidR="005521E9" w:rsidRPr="005521E9">
        <w:rPr>
          <w:sz w:val="20"/>
          <w:szCs w:val="20"/>
        </w:rPr>
        <w:t>http://womhist.alexanderstreet.com/awrm/doc17.htm</w:t>
      </w:r>
      <w:r>
        <w:rPr>
          <w:i/>
          <w:sz w:val="20"/>
          <w:szCs w:val="20"/>
        </w:rPr>
        <w:t xml:space="preserve"> </w:t>
      </w:r>
      <w:r>
        <w:rPr>
          <w:sz w:val="20"/>
          <w:szCs w:val="20"/>
        </w:rPr>
        <w:t>(accessed 31 August 2015)</w:t>
      </w:r>
      <w:r w:rsidRPr="00D964D0">
        <w:rPr>
          <w:sz w:val="20"/>
          <w:szCs w:val="20"/>
        </w:rPr>
        <w:t xml:space="preserve">;  Elizabeth Cady Stanton, </w:t>
      </w:r>
      <w:r w:rsidRPr="00D964D0">
        <w:rPr>
          <w:i/>
          <w:sz w:val="20"/>
          <w:szCs w:val="20"/>
        </w:rPr>
        <w:t>Women’s Bible</w:t>
      </w:r>
      <w:r w:rsidRPr="00D964D0">
        <w:rPr>
          <w:sz w:val="20"/>
          <w:szCs w:val="20"/>
        </w:rPr>
        <w:t>, Parts I</w:t>
      </w:r>
      <w:r>
        <w:rPr>
          <w:sz w:val="20"/>
          <w:szCs w:val="20"/>
        </w:rPr>
        <w:t xml:space="preserve"> &amp; II, </w:t>
      </w:r>
      <w:r w:rsidRPr="00D964D0">
        <w:rPr>
          <w:sz w:val="20"/>
          <w:szCs w:val="20"/>
        </w:rPr>
        <w:t>1895</w:t>
      </w:r>
      <w:r>
        <w:rPr>
          <w:sz w:val="20"/>
          <w:szCs w:val="20"/>
        </w:rPr>
        <w:t xml:space="preserve">, </w:t>
      </w:r>
      <w:r w:rsidRPr="00D964D0">
        <w:rPr>
          <w:sz w:val="20"/>
          <w:szCs w:val="20"/>
        </w:rPr>
        <w:t>1898</w:t>
      </w:r>
      <w:r>
        <w:rPr>
          <w:sz w:val="20"/>
          <w:szCs w:val="20"/>
        </w:rPr>
        <w:t xml:space="preserve">, </w:t>
      </w:r>
      <w:hyperlink r:id="rId4" w:history="1">
        <w:r w:rsidRPr="003F37F4">
          <w:rPr>
            <w:rStyle w:val="Hyperlink"/>
            <w:sz w:val="20"/>
            <w:szCs w:val="20"/>
          </w:rPr>
          <w:t>http://lcweb2.loc.gov/cgi-bin/query/r?ammem/mcc:@field(DOCID+@lit(mcc/049))</w:t>
        </w:r>
      </w:hyperlink>
      <w:r>
        <w:rPr>
          <w:sz w:val="20"/>
          <w:szCs w:val="20"/>
        </w:rPr>
        <w:t xml:space="preserve"> (accessed 31 August 2015)</w:t>
      </w:r>
      <w:r w:rsidRPr="00D964D0">
        <w:rPr>
          <w:sz w:val="20"/>
          <w:szCs w:val="20"/>
        </w:rPr>
        <w:t xml:space="preserve">;  </w:t>
      </w:r>
      <w:r>
        <w:rPr>
          <w:sz w:val="20"/>
          <w:szCs w:val="20"/>
        </w:rPr>
        <w:t xml:space="preserve">Albie Sachs and Joan Hoff Wilson, </w:t>
      </w:r>
      <w:r>
        <w:rPr>
          <w:i/>
          <w:sz w:val="20"/>
          <w:szCs w:val="20"/>
        </w:rPr>
        <w:t xml:space="preserve">Sexism and Law – A Study of Male Beliefs and Legal Bias in Britain and the United </w:t>
      </w:r>
      <w:r w:rsidRPr="00FF1C12">
        <w:rPr>
          <w:i/>
          <w:sz w:val="20"/>
          <w:szCs w:val="20"/>
        </w:rPr>
        <w:t>States</w:t>
      </w:r>
      <w:r>
        <w:rPr>
          <w:sz w:val="20"/>
          <w:szCs w:val="20"/>
        </w:rPr>
        <w:t xml:space="preserve">, Martin Robertson, Oxford, UK, 1978;  </w:t>
      </w:r>
      <w:r w:rsidRPr="00B63BDF">
        <w:rPr>
          <w:sz w:val="20"/>
          <w:szCs w:val="20"/>
        </w:rPr>
        <w:t>Robert</w:t>
      </w:r>
      <w:r w:rsidRPr="00D964D0">
        <w:rPr>
          <w:sz w:val="20"/>
          <w:szCs w:val="20"/>
        </w:rPr>
        <w:t xml:space="preserve"> J. Sharpe and Patricia I. McMahon, </w:t>
      </w:r>
      <w:r w:rsidRPr="00D964D0">
        <w:rPr>
          <w:i/>
          <w:sz w:val="20"/>
          <w:szCs w:val="20"/>
        </w:rPr>
        <w:t>The Persons Case – The Origins and Legacy of the First for Legal Personhood</w:t>
      </w:r>
      <w:r w:rsidRPr="00D964D0">
        <w:rPr>
          <w:sz w:val="20"/>
          <w:szCs w:val="20"/>
        </w:rPr>
        <w:t>, University of Toronto Press, Ontario, Canada, 2007.</w:t>
      </w:r>
    </w:p>
  </w:endnote>
  <w:endnote w:id="9">
    <w:p w14:paraId="12F2D27C" w14:textId="77777777" w:rsidR="0061798A" w:rsidRDefault="0061798A" w:rsidP="007827DA">
      <w:pPr>
        <w:spacing w:after="0"/>
        <w:jc w:val="both"/>
      </w:pPr>
      <w:r w:rsidRPr="00DC4ADC">
        <w:rPr>
          <w:rStyle w:val="EndnoteReference"/>
          <w:sz w:val="20"/>
          <w:szCs w:val="20"/>
        </w:rPr>
        <w:endnoteRef/>
      </w:r>
      <w:r w:rsidRPr="00DC4ADC">
        <w:rPr>
          <w:sz w:val="20"/>
          <w:szCs w:val="20"/>
        </w:rPr>
        <w:t xml:space="preserve"> Regina Schuller and Neil Vidmar, ‘The Canadian Criminal Jury’, </w:t>
      </w:r>
      <w:r w:rsidRPr="00DC4ADC">
        <w:rPr>
          <w:i/>
          <w:sz w:val="20"/>
          <w:szCs w:val="20"/>
        </w:rPr>
        <w:t xml:space="preserve">Chicago-Kent Law </w:t>
      </w:r>
      <w:r w:rsidRPr="00DC4ADC">
        <w:rPr>
          <w:sz w:val="20"/>
          <w:szCs w:val="20"/>
        </w:rPr>
        <w:t xml:space="preserve">Review, vol. 86, no 2, 2011, pp. 497-35;  Neil Vidmar, </w:t>
      </w:r>
      <w:r w:rsidRPr="00DC4ADC">
        <w:rPr>
          <w:i/>
          <w:sz w:val="20"/>
          <w:szCs w:val="20"/>
        </w:rPr>
        <w:t>World Jury Systems</w:t>
      </w:r>
      <w:r w:rsidRPr="00DC4ADC">
        <w:rPr>
          <w:sz w:val="20"/>
          <w:szCs w:val="20"/>
        </w:rPr>
        <w:t xml:space="preserve">, Oxford University Press, Oxford, UK, 2000;  Valerie P. Hans and Neil Vidmar, </w:t>
      </w:r>
      <w:r w:rsidRPr="00DC4ADC">
        <w:rPr>
          <w:i/>
          <w:sz w:val="20"/>
          <w:szCs w:val="20"/>
        </w:rPr>
        <w:t>Judging the</w:t>
      </w:r>
      <w:r w:rsidRPr="00DC4ADC">
        <w:rPr>
          <w:sz w:val="20"/>
          <w:szCs w:val="20"/>
        </w:rPr>
        <w:t xml:space="preserve"> </w:t>
      </w:r>
      <w:r w:rsidRPr="00DC4ADC">
        <w:rPr>
          <w:i/>
          <w:sz w:val="20"/>
          <w:szCs w:val="20"/>
        </w:rPr>
        <w:t xml:space="preserve">Jury, </w:t>
      </w:r>
      <w:r w:rsidRPr="00DC4ADC">
        <w:rPr>
          <w:sz w:val="20"/>
          <w:szCs w:val="20"/>
        </w:rPr>
        <w:t>Perseus Publishing, Cambridge, MA, USA,</w:t>
      </w:r>
      <w:r w:rsidRPr="00DC4ADC">
        <w:rPr>
          <w:i/>
          <w:sz w:val="20"/>
          <w:szCs w:val="20"/>
        </w:rPr>
        <w:t xml:space="preserve"> </w:t>
      </w:r>
      <w:r w:rsidRPr="00DC4ADC">
        <w:rPr>
          <w:sz w:val="20"/>
          <w:szCs w:val="20"/>
        </w:rPr>
        <w:t xml:space="preserve">1986;  </w:t>
      </w:r>
      <w:r w:rsidRPr="00DD734E">
        <w:rPr>
          <w:rFonts w:cs="Arial"/>
          <w:sz w:val="20"/>
          <w:szCs w:val="20"/>
        </w:rPr>
        <w:t xml:space="preserve">Michael Chesterman, </w:t>
      </w:r>
      <w:r>
        <w:rPr>
          <w:rFonts w:cs="Arial"/>
          <w:sz w:val="20"/>
          <w:szCs w:val="20"/>
        </w:rPr>
        <w:t xml:space="preserve">‘OJ and the Dingo: How Media Publicity Relating to Criminal Cases Tried by Jury is Dealt with in Australia and America’, </w:t>
      </w:r>
      <w:r>
        <w:rPr>
          <w:rFonts w:cs="Arial"/>
          <w:i/>
          <w:sz w:val="20"/>
          <w:szCs w:val="20"/>
        </w:rPr>
        <w:t>American Journal of Comparative Law</w:t>
      </w:r>
      <w:r>
        <w:rPr>
          <w:rFonts w:cs="Arial"/>
          <w:sz w:val="20"/>
          <w:szCs w:val="20"/>
        </w:rPr>
        <w:t xml:space="preserve">, vol. 45, no. 1, 1997, pp. 109-47;  </w:t>
      </w:r>
      <w:r w:rsidRPr="00DC4ADC">
        <w:rPr>
          <w:sz w:val="20"/>
          <w:szCs w:val="20"/>
        </w:rPr>
        <w:t xml:space="preserve">Kate Auty and Sandy Tousssait (eds), </w:t>
      </w:r>
      <w:r w:rsidRPr="00DC4ADC">
        <w:rPr>
          <w:i/>
          <w:sz w:val="20"/>
          <w:szCs w:val="20"/>
        </w:rPr>
        <w:t>A Jury of Whose Peers? The Cultural Politics of Juries in Australia</w:t>
      </w:r>
      <w:r>
        <w:rPr>
          <w:sz w:val="20"/>
          <w:szCs w:val="20"/>
        </w:rPr>
        <w:t xml:space="preserve">, UWA Press, </w:t>
      </w:r>
      <w:r w:rsidR="00CE0AE0">
        <w:rPr>
          <w:sz w:val="20"/>
          <w:szCs w:val="20"/>
        </w:rPr>
        <w:t>Crawley, Australia</w:t>
      </w:r>
      <w:r>
        <w:rPr>
          <w:sz w:val="20"/>
          <w:szCs w:val="20"/>
        </w:rPr>
        <w:t>, 2004.</w:t>
      </w:r>
    </w:p>
  </w:endnote>
  <w:endnote w:id="10">
    <w:p w14:paraId="08819A18" w14:textId="77777777" w:rsidR="0061798A" w:rsidRPr="00D43BB8" w:rsidRDefault="0061798A" w:rsidP="008F26A6">
      <w:pPr>
        <w:spacing w:after="0" w:line="276" w:lineRule="auto"/>
        <w:jc w:val="both"/>
      </w:pPr>
      <w:r w:rsidRPr="006930B4">
        <w:rPr>
          <w:rStyle w:val="EndnoteReference"/>
          <w:sz w:val="20"/>
          <w:szCs w:val="20"/>
        </w:rPr>
        <w:endnoteRef/>
      </w:r>
      <w:r w:rsidRPr="006930B4">
        <w:rPr>
          <w:sz w:val="20"/>
          <w:szCs w:val="20"/>
        </w:rPr>
        <w:t xml:space="preserve"> James Giardner (ed.), </w:t>
      </w:r>
      <w:r w:rsidRPr="006930B4">
        <w:rPr>
          <w:i/>
          <w:sz w:val="20"/>
          <w:szCs w:val="20"/>
        </w:rPr>
        <w:t>The Project Gutenberg EBook of The Paston Letters</w:t>
      </w:r>
      <w:r w:rsidRPr="006930B4">
        <w:rPr>
          <w:sz w:val="20"/>
          <w:szCs w:val="20"/>
        </w:rPr>
        <w:t xml:space="preserve">, vol. I, </w:t>
      </w:r>
      <w:hyperlink r:id="rId5" w:history="1">
        <w:r w:rsidRPr="006930B4">
          <w:rPr>
            <w:rStyle w:val="Hyperlink"/>
            <w:sz w:val="20"/>
            <w:szCs w:val="20"/>
          </w:rPr>
          <w:t>http://www.gutenberg.org/files/43348/43348-h/43348-h.htm</w:t>
        </w:r>
      </w:hyperlink>
      <w:r w:rsidRPr="006930B4">
        <w:rPr>
          <w:sz w:val="20"/>
          <w:szCs w:val="20"/>
        </w:rPr>
        <w:t xml:space="preserve"> (accessed 3 July 2015);  </w:t>
      </w:r>
      <w:r w:rsidRPr="006930B4">
        <w:rPr>
          <w:i/>
          <w:sz w:val="20"/>
          <w:szCs w:val="20"/>
        </w:rPr>
        <w:t>The Paston Letters</w:t>
      </w:r>
      <w:r w:rsidRPr="006930B4">
        <w:rPr>
          <w:sz w:val="20"/>
          <w:szCs w:val="20"/>
        </w:rPr>
        <w:t>, vol. I, pp. 664-66</w:t>
      </w:r>
      <w:r w:rsidR="00D31B6B">
        <w:rPr>
          <w:sz w:val="20"/>
          <w:szCs w:val="20"/>
        </w:rPr>
        <w:t>,</w:t>
      </w:r>
      <w:r w:rsidRPr="006930B4">
        <w:rPr>
          <w:sz w:val="20"/>
          <w:szCs w:val="20"/>
        </w:rPr>
        <w:t xml:space="preserve"> cited Henrietta Leyser, </w:t>
      </w:r>
      <w:r w:rsidRPr="006930B4">
        <w:rPr>
          <w:i/>
          <w:sz w:val="20"/>
          <w:szCs w:val="20"/>
        </w:rPr>
        <w:t>Medieval Women …</w:t>
      </w:r>
      <w:r w:rsidRPr="006930B4">
        <w:rPr>
          <w:sz w:val="20"/>
          <w:szCs w:val="20"/>
        </w:rPr>
        <w:t>, 1995, p. 167</w:t>
      </w:r>
      <w:r>
        <w:rPr>
          <w:sz w:val="20"/>
          <w:szCs w:val="20"/>
        </w:rPr>
        <w:t xml:space="preserve">;  </w:t>
      </w:r>
      <w:r w:rsidRPr="00683A26">
        <w:rPr>
          <w:sz w:val="20"/>
          <w:szCs w:val="20"/>
        </w:rPr>
        <w:t xml:space="preserve">Mary Louise Erickson, </w:t>
      </w:r>
      <w:r w:rsidRPr="00683A26">
        <w:rPr>
          <w:i/>
          <w:sz w:val="20"/>
          <w:szCs w:val="20"/>
        </w:rPr>
        <w:t xml:space="preserve">Women and Property in Early Modern </w:t>
      </w:r>
      <w:r w:rsidRPr="00683A26">
        <w:rPr>
          <w:sz w:val="20"/>
          <w:szCs w:val="20"/>
        </w:rPr>
        <w:t xml:space="preserve">England, Routledge, London, UK, 1993; </w:t>
      </w:r>
      <w:r>
        <w:rPr>
          <w:sz w:val="20"/>
          <w:szCs w:val="20"/>
        </w:rPr>
        <w:t xml:space="preserve"> </w:t>
      </w:r>
      <w:r w:rsidRPr="006930B4">
        <w:rPr>
          <w:sz w:val="20"/>
          <w:szCs w:val="20"/>
        </w:rPr>
        <w:t xml:space="preserve">Joan Perkin, </w:t>
      </w:r>
      <w:r w:rsidRPr="006930B4">
        <w:rPr>
          <w:i/>
          <w:sz w:val="20"/>
          <w:szCs w:val="20"/>
        </w:rPr>
        <w:t>Women and Marriage in Nineteenth Century England</w:t>
      </w:r>
      <w:r w:rsidRPr="006930B4">
        <w:rPr>
          <w:sz w:val="20"/>
          <w:szCs w:val="20"/>
        </w:rPr>
        <w:t xml:space="preserve">, Routledge, London UK, 1989;  Joan Perkin, </w:t>
      </w:r>
      <w:r w:rsidRPr="006930B4">
        <w:rPr>
          <w:i/>
          <w:sz w:val="20"/>
          <w:szCs w:val="20"/>
        </w:rPr>
        <w:t>Victorian Women</w:t>
      </w:r>
      <w:r w:rsidRPr="006930B4">
        <w:rPr>
          <w:sz w:val="20"/>
          <w:szCs w:val="20"/>
        </w:rPr>
        <w:t>, NY University Press, NY, USA, 1995</w:t>
      </w:r>
      <w:r>
        <w:rPr>
          <w:sz w:val="20"/>
          <w:szCs w:val="20"/>
        </w:rPr>
        <w:t xml:space="preserve">;  </w:t>
      </w:r>
      <w:r w:rsidRPr="00683A26">
        <w:rPr>
          <w:sz w:val="20"/>
          <w:szCs w:val="20"/>
        </w:rPr>
        <w:t xml:space="preserve">Marylynn Salmon, </w:t>
      </w:r>
      <w:r w:rsidRPr="00683A26">
        <w:rPr>
          <w:i/>
          <w:sz w:val="20"/>
          <w:szCs w:val="20"/>
        </w:rPr>
        <w:t>Women and the Law of Property in Early America</w:t>
      </w:r>
      <w:r w:rsidRPr="00683A26">
        <w:rPr>
          <w:sz w:val="20"/>
          <w:szCs w:val="20"/>
        </w:rPr>
        <w:t>, University of Nth Carolina Press, Carolina, USA, 1986</w:t>
      </w:r>
      <w:r>
        <w:rPr>
          <w:sz w:val="20"/>
          <w:szCs w:val="20"/>
        </w:rPr>
        <w:t xml:space="preserve">;  </w:t>
      </w:r>
      <w:r w:rsidRPr="00683A26">
        <w:rPr>
          <w:sz w:val="20"/>
          <w:szCs w:val="20"/>
        </w:rPr>
        <w:t xml:space="preserve">Maureen Baker, </w:t>
      </w:r>
      <w:r w:rsidRPr="00683A26">
        <w:rPr>
          <w:i/>
          <w:sz w:val="20"/>
          <w:szCs w:val="20"/>
        </w:rPr>
        <w:t>Families, Labour and Love</w:t>
      </w:r>
      <w:r w:rsidRPr="00683A26">
        <w:rPr>
          <w:sz w:val="20"/>
          <w:szCs w:val="20"/>
        </w:rPr>
        <w:t>, University of British Columbia Press, Vancouver, Canada, 2001;  Anne Lorene</w:t>
      </w:r>
      <w:r>
        <w:rPr>
          <w:sz w:val="20"/>
          <w:szCs w:val="20"/>
        </w:rPr>
        <w:t xml:space="preserve"> Chambers, </w:t>
      </w:r>
      <w:r>
        <w:rPr>
          <w:i/>
          <w:sz w:val="20"/>
          <w:szCs w:val="20"/>
        </w:rPr>
        <w:t>Married Women and Property Law in Victorian Ontario</w:t>
      </w:r>
      <w:r>
        <w:rPr>
          <w:sz w:val="20"/>
          <w:szCs w:val="20"/>
        </w:rPr>
        <w:t xml:space="preserve">, Osgoode Society for Canadian Legal History, University of Toronto Press, Ontario, Canada, 1997;  </w:t>
      </w:r>
      <w:r w:rsidRPr="00825D97">
        <w:rPr>
          <w:sz w:val="20"/>
          <w:szCs w:val="20"/>
        </w:rPr>
        <w:t xml:space="preserve"> Angela Barns, Andrew Cowie and Therese Jefferson, </w:t>
      </w:r>
      <w:r w:rsidRPr="00825D97">
        <w:rPr>
          <w:i/>
          <w:sz w:val="20"/>
          <w:szCs w:val="20"/>
        </w:rPr>
        <w:t>Women</w:t>
      </w:r>
      <w:r w:rsidRPr="00825D97">
        <w:rPr>
          <w:i/>
          <w:iCs/>
          <w:sz w:val="20"/>
          <w:szCs w:val="20"/>
        </w:rPr>
        <w:t xml:space="preserve">’s Property Rights: A herstorical dialogue of economic thought and gender inequality, </w:t>
      </w:r>
      <w:r w:rsidRPr="00825D97">
        <w:rPr>
          <w:sz w:val="20"/>
          <w:szCs w:val="20"/>
        </w:rPr>
        <w:t>WiSER, Curtin University, Perth, Australia, 2009</w:t>
      </w:r>
      <w:r>
        <w:rPr>
          <w:sz w:val="20"/>
          <w:szCs w:val="20"/>
        </w:rPr>
        <w:t>.</w:t>
      </w:r>
    </w:p>
  </w:endnote>
  <w:endnote w:id="11">
    <w:p w14:paraId="6F014349" w14:textId="77777777" w:rsidR="0061798A" w:rsidRDefault="0061798A" w:rsidP="008F26A6">
      <w:pPr>
        <w:spacing w:after="0" w:line="276" w:lineRule="auto"/>
        <w:jc w:val="both"/>
      </w:pPr>
      <w:r>
        <w:rPr>
          <w:rStyle w:val="EndnoteReference"/>
        </w:rPr>
        <w:endnoteRef/>
      </w:r>
      <w:r>
        <w:t xml:space="preserve"> </w:t>
      </w:r>
      <w:r>
        <w:rPr>
          <w:sz w:val="20"/>
          <w:szCs w:val="20"/>
        </w:rPr>
        <w:t xml:space="preserve">Marilyn Wearing, </w:t>
      </w:r>
      <w:r w:rsidRPr="00725C0F">
        <w:rPr>
          <w:i/>
          <w:sz w:val="20"/>
          <w:szCs w:val="20"/>
        </w:rPr>
        <w:t>If Women Counted: A New Feminist Economics</w:t>
      </w:r>
      <w:r w:rsidRPr="00725C0F">
        <w:rPr>
          <w:sz w:val="20"/>
          <w:szCs w:val="20"/>
        </w:rPr>
        <w:t xml:space="preserve">, Harper &amp; Row, NY, USA, 1988, republished </w:t>
      </w:r>
      <w:r>
        <w:rPr>
          <w:sz w:val="20"/>
          <w:szCs w:val="20"/>
        </w:rPr>
        <w:t xml:space="preserve">as </w:t>
      </w:r>
      <w:r>
        <w:rPr>
          <w:i/>
          <w:sz w:val="20"/>
          <w:szCs w:val="20"/>
        </w:rPr>
        <w:t xml:space="preserve">Counting for Nothing – What Men Value and What Women are Worth, </w:t>
      </w:r>
      <w:r w:rsidRPr="00725C0F">
        <w:rPr>
          <w:sz w:val="20"/>
          <w:szCs w:val="20"/>
        </w:rPr>
        <w:t>MacMillan, Allen &amp; Unwin, University of Toronto Press, Ontario, 1991;</w:t>
      </w:r>
      <w:r>
        <w:rPr>
          <w:sz w:val="20"/>
          <w:szCs w:val="20"/>
        </w:rPr>
        <w:t xml:space="preserve">  </w:t>
      </w:r>
      <w:r w:rsidRPr="00725C0F">
        <w:rPr>
          <w:sz w:val="20"/>
          <w:szCs w:val="20"/>
        </w:rPr>
        <w:t xml:space="preserve">Ann Mumford, </w:t>
      </w:r>
      <w:r w:rsidRPr="00725C0F">
        <w:rPr>
          <w:i/>
          <w:sz w:val="20"/>
          <w:szCs w:val="20"/>
        </w:rPr>
        <w:t>Tax Policy, Women and the Law – UK and Comparative Perspectives</w:t>
      </w:r>
      <w:r w:rsidRPr="00725C0F">
        <w:rPr>
          <w:sz w:val="20"/>
          <w:szCs w:val="20"/>
        </w:rPr>
        <w:t xml:space="preserve">, Cambridge University Press, Cambridge, UK, 2010;  Patricia Apps, </w:t>
      </w:r>
      <w:r w:rsidRPr="00725C0F">
        <w:rPr>
          <w:i/>
          <w:sz w:val="20"/>
          <w:szCs w:val="20"/>
        </w:rPr>
        <w:t>A Theory of Inequality and Taxation</w:t>
      </w:r>
      <w:r w:rsidRPr="00725C0F">
        <w:rPr>
          <w:sz w:val="20"/>
          <w:szCs w:val="20"/>
        </w:rPr>
        <w:t>, Cambridge University Press, Cambridge, UK, 1981</w:t>
      </w:r>
      <w:r>
        <w:rPr>
          <w:sz w:val="20"/>
          <w:szCs w:val="20"/>
        </w:rPr>
        <w:t>.</w:t>
      </w:r>
    </w:p>
  </w:endnote>
  <w:endnote w:id="12">
    <w:p w14:paraId="1E7F4D0B" w14:textId="77777777" w:rsidR="0061798A" w:rsidRPr="00E56F94" w:rsidRDefault="0061798A" w:rsidP="002B0409">
      <w:pPr>
        <w:spacing w:after="0" w:line="276" w:lineRule="auto"/>
        <w:jc w:val="both"/>
        <w:rPr>
          <w:sz w:val="20"/>
          <w:szCs w:val="20"/>
        </w:rPr>
      </w:pPr>
      <w:r w:rsidRPr="009E485E">
        <w:rPr>
          <w:rStyle w:val="EndnoteReference"/>
          <w:sz w:val="20"/>
          <w:szCs w:val="20"/>
        </w:rPr>
        <w:endnoteRef/>
      </w:r>
      <w:r w:rsidRPr="009E485E">
        <w:rPr>
          <w:sz w:val="20"/>
          <w:szCs w:val="20"/>
        </w:rPr>
        <w:t xml:space="preserve"> </w:t>
      </w:r>
      <w:r w:rsidR="009E485E" w:rsidRPr="009E485E">
        <w:rPr>
          <w:sz w:val="20"/>
          <w:szCs w:val="20"/>
        </w:rPr>
        <w:t xml:space="preserve">Greta Bird and </w:t>
      </w:r>
      <w:r w:rsidRPr="009E485E">
        <w:rPr>
          <w:sz w:val="20"/>
          <w:szCs w:val="20"/>
        </w:rPr>
        <w:t xml:space="preserve">Elizabeth Kirkby (ed.), </w:t>
      </w:r>
      <w:r w:rsidRPr="009E485E">
        <w:rPr>
          <w:i/>
          <w:sz w:val="20"/>
          <w:szCs w:val="20"/>
        </w:rPr>
        <w:t>Sex, Power and Justice: Historical Perspectives on Law in Australia</w:t>
      </w:r>
      <w:r w:rsidRPr="009E485E">
        <w:rPr>
          <w:sz w:val="20"/>
          <w:szCs w:val="20"/>
        </w:rPr>
        <w:t>,</w:t>
      </w:r>
      <w:r w:rsidRPr="007C0CCE">
        <w:rPr>
          <w:sz w:val="20"/>
          <w:szCs w:val="20"/>
        </w:rPr>
        <w:t xml:space="preserve"> Oxford University Press, Melbourne, Australia, 1995;  Law Commission, </w:t>
      </w:r>
      <w:r>
        <w:rPr>
          <w:i/>
          <w:sz w:val="20"/>
          <w:szCs w:val="20"/>
        </w:rPr>
        <w:t>Women’s Access to Legal Services</w:t>
      </w:r>
      <w:r>
        <w:rPr>
          <w:sz w:val="20"/>
          <w:szCs w:val="20"/>
        </w:rPr>
        <w:t xml:space="preserve">, Law Commission, Wellington, A/NZ, 1999, </w:t>
      </w:r>
      <w:hyperlink r:id="rId6" w:history="1">
        <w:r w:rsidRPr="007C0CCE">
          <w:rPr>
            <w:rStyle w:val="Hyperlink"/>
            <w:sz w:val="20"/>
            <w:szCs w:val="20"/>
          </w:rPr>
          <w:t>http://www.lawcom.govt.nz/our-projects/women-and-access-justice</w:t>
        </w:r>
      </w:hyperlink>
      <w:r w:rsidRPr="007C0CCE">
        <w:rPr>
          <w:sz w:val="20"/>
          <w:szCs w:val="20"/>
        </w:rPr>
        <w:t xml:space="preserve"> (accessed 31 August 2015); ALRC, </w:t>
      </w:r>
      <w:r w:rsidRPr="007C0CCE">
        <w:rPr>
          <w:i/>
          <w:sz w:val="20"/>
          <w:szCs w:val="20"/>
        </w:rPr>
        <w:t>Equality before the Law</w:t>
      </w:r>
      <w:r w:rsidRPr="007C0CCE">
        <w:rPr>
          <w:sz w:val="20"/>
          <w:szCs w:val="20"/>
        </w:rPr>
        <w:t xml:space="preserve">, ALRC 69, AGPS, Sydney, Australia, 1994;  </w:t>
      </w:r>
      <w:r>
        <w:rPr>
          <w:sz w:val="20"/>
          <w:szCs w:val="20"/>
        </w:rPr>
        <w:t xml:space="preserve">Canadian Advisory Council on the Status of Women, </w:t>
      </w:r>
      <w:r>
        <w:rPr>
          <w:i/>
          <w:sz w:val="20"/>
          <w:szCs w:val="20"/>
        </w:rPr>
        <w:t>Canadian Charter Equality Rights for Women: One Step Forward or Two Steps Back?</w:t>
      </w:r>
      <w:r>
        <w:rPr>
          <w:sz w:val="20"/>
          <w:szCs w:val="20"/>
        </w:rPr>
        <w:t xml:space="preserve"> CACSW, Montreal, Canada, 1989;  </w:t>
      </w:r>
      <w:r w:rsidRPr="007C0CCE">
        <w:rPr>
          <w:sz w:val="20"/>
          <w:szCs w:val="20"/>
        </w:rPr>
        <w:t xml:space="preserve">Alison Brewin, </w:t>
      </w:r>
      <w:r w:rsidRPr="007C0CCE">
        <w:rPr>
          <w:i/>
          <w:sz w:val="20"/>
          <w:szCs w:val="20"/>
        </w:rPr>
        <w:t>Legal Aid Denied: Women and the Cuts to Legal Services in BC</w:t>
      </w:r>
      <w:r w:rsidRPr="007C0CCE">
        <w:rPr>
          <w:sz w:val="20"/>
          <w:szCs w:val="20"/>
        </w:rPr>
        <w:t>, CCPA &amp; LEAF</w:t>
      </w:r>
      <w:r>
        <w:rPr>
          <w:sz w:val="20"/>
          <w:szCs w:val="20"/>
        </w:rPr>
        <w:t xml:space="preserve"> (Women’s Legal Education &amp; Action Fund)</w:t>
      </w:r>
      <w:r w:rsidRPr="007C0CCE">
        <w:rPr>
          <w:sz w:val="20"/>
          <w:szCs w:val="20"/>
        </w:rPr>
        <w:t>, BC, Canada, 2004</w:t>
      </w:r>
      <w:r>
        <w:rPr>
          <w:sz w:val="20"/>
          <w:szCs w:val="20"/>
        </w:rPr>
        <w:t xml:space="preserve">; </w:t>
      </w:r>
      <w:r w:rsidR="00E56F94">
        <w:rPr>
          <w:sz w:val="20"/>
          <w:szCs w:val="20"/>
        </w:rPr>
        <w:t xml:space="preserve"> </w:t>
      </w:r>
      <w:r w:rsidR="002B0409" w:rsidRPr="00D4278F">
        <w:rPr>
          <w:sz w:val="20"/>
          <w:szCs w:val="20"/>
        </w:rPr>
        <w:t xml:space="preserve">Felice Batlan, </w:t>
      </w:r>
      <w:r w:rsidR="002B0409">
        <w:rPr>
          <w:i/>
          <w:sz w:val="20"/>
          <w:szCs w:val="20"/>
        </w:rPr>
        <w:t>Women and Justice for the Poor – A History of Legal Aid</w:t>
      </w:r>
      <w:r w:rsidR="002B0409">
        <w:rPr>
          <w:sz w:val="20"/>
          <w:szCs w:val="20"/>
        </w:rPr>
        <w:t>, Cambridge University Press, Cambridge, UK,</w:t>
      </w:r>
      <w:r w:rsidR="002B0409">
        <w:rPr>
          <w:i/>
          <w:sz w:val="20"/>
          <w:szCs w:val="20"/>
        </w:rPr>
        <w:t xml:space="preserve"> </w:t>
      </w:r>
      <w:r w:rsidR="002B0409" w:rsidRPr="00D4278F">
        <w:rPr>
          <w:sz w:val="20"/>
          <w:szCs w:val="20"/>
        </w:rPr>
        <w:t>2015</w:t>
      </w:r>
      <w:r w:rsidR="002B0409">
        <w:rPr>
          <w:sz w:val="20"/>
          <w:szCs w:val="20"/>
        </w:rPr>
        <w:t xml:space="preserve">;  </w:t>
      </w:r>
      <w:r w:rsidR="002B0409" w:rsidRPr="00D4278F">
        <w:rPr>
          <w:sz w:val="20"/>
          <w:szCs w:val="20"/>
        </w:rPr>
        <w:t xml:space="preserve">Deborah L. Rhode, </w:t>
      </w:r>
      <w:r w:rsidR="002B0409" w:rsidRPr="00D4278F">
        <w:rPr>
          <w:i/>
          <w:sz w:val="20"/>
          <w:szCs w:val="20"/>
        </w:rPr>
        <w:t>Access to</w:t>
      </w:r>
      <w:r w:rsidR="002B0409">
        <w:rPr>
          <w:sz w:val="20"/>
          <w:szCs w:val="20"/>
        </w:rPr>
        <w:t xml:space="preserve"> </w:t>
      </w:r>
      <w:r w:rsidR="002B0409" w:rsidRPr="00D4278F">
        <w:rPr>
          <w:i/>
          <w:sz w:val="20"/>
          <w:szCs w:val="20"/>
        </w:rPr>
        <w:t>Justice</w:t>
      </w:r>
      <w:r w:rsidR="002B0409">
        <w:rPr>
          <w:i/>
          <w:sz w:val="20"/>
          <w:szCs w:val="20"/>
        </w:rPr>
        <w:t xml:space="preserve">, </w:t>
      </w:r>
      <w:r w:rsidR="002B0409">
        <w:rPr>
          <w:sz w:val="20"/>
          <w:szCs w:val="20"/>
        </w:rPr>
        <w:t xml:space="preserve">Oxford University Press, NY, USA, </w:t>
      </w:r>
      <w:r w:rsidR="002B0409" w:rsidRPr="00D4278F">
        <w:rPr>
          <w:sz w:val="20"/>
          <w:szCs w:val="20"/>
        </w:rPr>
        <w:t>2002</w:t>
      </w:r>
      <w:r w:rsidR="002B0409">
        <w:rPr>
          <w:sz w:val="20"/>
          <w:szCs w:val="20"/>
        </w:rPr>
        <w:t xml:space="preserve">;  </w:t>
      </w:r>
      <w:r w:rsidR="00E56F94">
        <w:rPr>
          <w:sz w:val="20"/>
          <w:szCs w:val="20"/>
        </w:rPr>
        <w:t xml:space="preserve">Fawcett Society, </w:t>
      </w:r>
      <w:r w:rsidR="00E56F94" w:rsidRPr="00E56F94">
        <w:rPr>
          <w:rStyle w:val="Emphasis"/>
          <w:rFonts w:cs="Arial"/>
          <w:sz w:val="20"/>
          <w:szCs w:val="20"/>
          <w:lang w:val="en-US"/>
        </w:rPr>
        <w:t>Sex and Power 2013: Who Runs Britain</w:t>
      </w:r>
      <w:r w:rsidR="00E56F94">
        <w:rPr>
          <w:sz w:val="20"/>
          <w:szCs w:val="20"/>
        </w:rPr>
        <w:t xml:space="preserve">? Fawcett Society, London, 2013;  </w:t>
      </w:r>
      <w:r>
        <w:rPr>
          <w:sz w:val="20"/>
          <w:szCs w:val="20"/>
        </w:rPr>
        <w:t xml:space="preserve"> Rights of Women, </w:t>
      </w:r>
      <w:r>
        <w:rPr>
          <w:i/>
          <w:sz w:val="20"/>
          <w:szCs w:val="20"/>
        </w:rPr>
        <w:t xml:space="preserve">Access to Justice: A Report on Women’s Access to Free Legal Advice in Hackney, Haringey, Lambeth and Tower Hamlets, </w:t>
      </w:r>
      <w:r>
        <w:rPr>
          <w:sz w:val="20"/>
          <w:szCs w:val="20"/>
        </w:rPr>
        <w:t>Rights of Women, London, UK, 2002.</w:t>
      </w:r>
    </w:p>
  </w:endnote>
  <w:endnote w:id="13">
    <w:p w14:paraId="14BB6CD9" w14:textId="77777777" w:rsidR="0061798A" w:rsidRPr="00861460" w:rsidRDefault="0061798A" w:rsidP="002B0409">
      <w:pPr>
        <w:spacing w:after="0" w:line="276" w:lineRule="auto"/>
        <w:jc w:val="both"/>
        <w:rPr>
          <w:sz w:val="20"/>
          <w:szCs w:val="20"/>
        </w:rPr>
      </w:pPr>
      <w:r w:rsidRPr="00AA697F">
        <w:rPr>
          <w:rStyle w:val="EndnoteReference"/>
          <w:sz w:val="20"/>
          <w:szCs w:val="20"/>
        </w:rPr>
        <w:endnoteRef/>
      </w:r>
      <w:r w:rsidRPr="00AA697F">
        <w:rPr>
          <w:sz w:val="20"/>
          <w:szCs w:val="20"/>
        </w:rPr>
        <w:t xml:space="preserve"> Karen Harris and Lori Caskey-Sigety, </w:t>
      </w:r>
      <w:r w:rsidRPr="00AA697F">
        <w:rPr>
          <w:i/>
          <w:sz w:val="20"/>
          <w:szCs w:val="20"/>
        </w:rPr>
        <w:t>The Medieval Vagina – A Hysterical and Historical Perspective of All things Vaginal During the Middle Ages</w:t>
      </w:r>
      <w:r w:rsidRPr="00AA697F">
        <w:rPr>
          <w:sz w:val="20"/>
          <w:szCs w:val="20"/>
        </w:rPr>
        <w:t>, Snark Publishing, Indiana, USA, 2014;    Susan Brownmiller</w:t>
      </w:r>
      <w:r w:rsidR="00343110">
        <w:rPr>
          <w:sz w:val="20"/>
          <w:szCs w:val="20"/>
        </w:rPr>
        <w:t>,</w:t>
      </w:r>
      <w:r w:rsidRPr="00AA697F">
        <w:rPr>
          <w:sz w:val="20"/>
          <w:szCs w:val="20"/>
        </w:rPr>
        <w:t xml:space="preserve"> </w:t>
      </w:r>
      <w:r w:rsidRPr="00AA697F">
        <w:rPr>
          <w:i/>
          <w:sz w:val="20"/>
          <w:szCs w:val="20"/>
        </w:rPr>
        <w:t>Against Our Will – Men, Women and Rape</w:t>
      </w:r>
      <w:r w:rsidRPr="00AA697F">
        <w:rPr>
          <w:sz w:val="20"/>
          <w:szCs w:val="20"/>
        </w:rPr>
        <w:t>, Martin Secker &amp; Warburg, NY, USA, 1975;  Erin Pizzey</w:t>
      </w:r>
      <w:r w:rsidR="00343110">
        <w:rPr>
          <w:sz w:val="20"/>
          <w:szCs w:val="20"/>
        </w:rPr>
        <w:t>,</w:t>
      </w:r>
      <w:r w:rsidRPr="00AA697F">
        <w:rPr>
          <w:sz w:val="20"/>
          <w:szCs w:val="20"/>
        </w:rPr>
        <w:t xml:space="preserve"> </w:t>
      </w:r>
      <w:r w:rsidRPr="00AA697F">
        <w:rPr>
          <w:i/>
          <w:sz w:val="20"/>
          <w:szCs w:val="20"/>
        </w:rPr>
        <w:t>Scream Quietly or the Neighbours Will Hear</w:t>
      </w:r>
      <w:r w:rsidRPr="00AA697F">
        <w:rPr>
          <w:sz w:val="20"/>
          <w:szCs w:val="20"/>
        </w:rPr>
        <w:t xml:space="preserve">, Pelican, Harmondsworth, UK, 1974;  Jocelynne Scutt, </w:t>
      </w:r>
      <w:r w:rsidRPr="00AA697F">
        <w:rPr>
          <w:i/>
          <w:sz w:val="20"/>
          <w:szCs w:val="20"/>
        </w:rPr>
        <w:t>Even in the Best of Homes – Violence in the Family</w:t>
      </w:r>
      <w:r w:rsidRPr="00AA697F">
        <w:rPr>
          <w:sz w:val="20"/>
          <w:szCs w:val="20"/>
        </w:rPr>
        <w:t xml:space="preserve">, Pelican Australia, Melbourne, Australia, 1983, McCulloch Publishing, Melbourne, Australia, 1990;  Andrea Dworkin, </w:t>
      </w:r>
      <w:r>
        <w:rPr>
          <w:i/>
          <w:sz w:val="20"/>
          <w:szCs w:val="20"/>
        </w:rPr>
        <w:t>Pornography – Men Possessing Women</w:t>
      </w:r>
      <w:r>
        <w:rPr>
          <w:sz w:val="20"/>
          <w:szCs w:val="20"/>
        </w:rPr>
        <w:t xml:space="preserve">, The Women’s Press, London, UK, 1981;  </w:t>
      </w:r>
      <w:r w:rsidRPr="00507563">
        <w:rPr>
          <w:sz w:val="20"/>
          <w:szCs w:val="20"/>
        </w:rPr>
        <w:t>Simone</w:t>
      </w:r>
      <w:r w:rsidRPr="00AA697F">
        <w:rPr>
          <w:sz w:val="20"/>
          <w:szCs w:val="20"/>
        </w:rPr>
        <w:t xml:space="preserve"> De Beauvoir, </w:t>
      </w:r>
      <w:r w:rsidRPr="00AA697F">
        <w:rPr>
          <w:i/>
          <w:sz w:val="20"/>
          <w:szCs w:val="20"/>
        </w:rPr>
        <w:t>The Second Sex</w:t>
      </w:r>
      <w:r w:rsidRPr="00AA697F">
        <w:rPr>
          <w:sz w:val="20"/>
          <w:szCs w:val="20"/>
        </w:rPr>
        <w:t xml:space="preserve">, </w:t>
      </w:r>
      <w:r>
        <w:rPr>
          <w:sz w:val="20"/>
          <w:szCs w:val="20"/>
        </w:rPr>
        <w:t>Jonathan Cape, London, UK, 1953</w:t>
      </w:r>
      <w:r w:rsidRPr="00AA697F">
        <w:rPr>
          <w:sz w:val="20"/>
          <w:szCs w:val="20"/>
        </w:rPr>
        <w:t xml:space="preserve">;  Germaine Greer, </w:t>
      </w:r>
      <w:r w:rsidRPr="00AA697F">
        <w:rPr>
          <w:i/>
          <w:sz w:val="20"/>
          <w:szCs w:val="20"/>
        </w:rPr>
        <w:t>The Female Eunuc</w:t>
      </w:r>
      <w:r>
        <w:rPr>
          <w:i/>
          <w:sz w:val="20"/>
          <w:szCs w:val="20"/>
        </w:rPr>
        <w:t>h</w:t>
      </w:r>
      <w:r w:rsidRPr="00AA697F">
        <w:rPr>
          <w:sz w:val="20"/>
          <w:szCs w:val="20"/>
        </w:rPr>
        <w:t xml:space="preserve">, </w:t>
      </w:r>
      <w:r>
        <w:rPr>
          <w:sz w:val="20"/>
          <w:szCs w:val="20"/>
        </w:rPr>
        <w:t xml:space="preserve">Paladin, London, UK, </w:t>
      </w:r>
      <w:r w:rsidRPr="00AA697F">
        <w:rPr>
          <w:sz w:val="20"/>
          <w:szCs w:val="20"/>
        </w:rPr>
        <w:t>197</w:t>
      </w:r>
      <w:r>
        <w:rPr>
          <w:sz w:val="20"/>
          <w:szCs w:val="20"/>
        </w:rPr>
        <w:t>0</w:t>
      </w:r>
      <w:r w:rsidRPr="00AA697F">
        <w:rPr>
          <w:sz w:val="20"/>
          <w:szCs w:val="20"/>
        </w:rPr>
        <w:t xml:space="preserve">;  Catharine </w:t>
      </w:r>
      <w:r>
        <w:rPr>
          <w:sz w:val="20"/>
          <w:szCs w:val="20"/>
        </w:rPr>
        <w:t xml:space="preserve">A. </w:t>
      </w:r>
      <w:r w:rsidRPr="00AA697F">
        <w:rPr>
          <w:sz w:val="20"/>
          <w:szCs w:val="20"/>
        </w:rPr>
        <w:t xml:space="preserve">Mackinnon, </w:t>
      </w:r>
      <w:r>
        <w:rPr>
          <w:i/>
          <w:sz w:val="20"/>
          <w:szCs w:val="20"/>
        </w:rPr>
        <w:t>Toward a Feminist Theory of the State</w:t>
      </w:r>
      <w:r>
        <w:rPr>
          <w:sz w:val="20"/>
          <w:szCs w:val="20"/>
        </w:rPr>
        <w:t xml:space="preserve">, Harvard University Press, MA, USA, 1989;  </w:t>
      </w:r>
      <w:r w:rsidRPr="00585049">
        <w:rPr>
          <w:sz w:val="20"/>
          <w:szCs w:val="20"/>
        </w:rPr>
        <w:t>Helena</w:t>
      </w:r>
      <w:r w:rsidRPr="00AA697F">
        <w:rPr>
          <w:sz w:val="20"/>
          <w:szCs w:val="20"/>
        </w:rPr>
        <w:t xml:space="preserve"> Kennedy, </w:t>
      </w:r>
      <w:r w:rsidRPr="00AA697F">
        <w:rPr>
          <w:i/>
          <w:sz w:val="20"/>
          <w:szCs w:val="20"/>
        </w:rPr>
        <w:t>Eve Was Framed</w:t>
      </w:r>
      <w:r>
        <w:rPr>
          <w:i/>
          <w:sz w:val="20"/>
          <w:szCs w:val="20"/>
        </w:rPr>
        <w:t xml:space="preserve"> – Women and British Justice, </w:t>
      </w:r>
      <w:r>
        <w:rPr>
          <w:sz w:val="20"/>
          <w:szCs w:val="20"/>
        </w:rPr>
        <w:t xml:space="preserve">Vintage, London, 1993;  </w:t>
      </w:r>
      <w:r w:rsidRPr="00AA697F">
        <w:rPr>
          <w:sz w:val="20"/>
          <w:szCs w:val="20"/>
        </w:rPr>
        <w:t>Susan</w:t>
      </w:r>
      <w:r w:rsidRPr="00F8338A">
        <w:rPr>
          <w:sz w:val="20"/>
          <w:szCs w:val="20"/>
        </w:rPr>
        <w:t xml:space="preserve"> Edwards, </w:t>
      </w:r>
      <w:r>
        <w:rPr>
          <w:i/>
          <w:sz w:val="20"/>
          <w:szCs w:val="20"/>
        </w:rPr>
        <w:t>Sex and Gender in the Legal Process</w:t>
      </w:r>
      <w:r>
        <w:rPr>
          <w:sz w:val="20"/>
          <w:szCs w:val="20"/>
        </w:rPr>
        <w:t xml:space="preserve">, Blackstone, London, 1996; Meg Luxton and </w:t>
      </w:r>
      <w:r w:rsidRPr="00BB17D7">
        <w:rPr>
          <w:sz w:val="20"/>
          <w:szCs w:val="20"/>
        </w:rPr>
        <w:t>Mary</w:t>
      </w:r>
      <w:r w:rsidRPr="00F8338A">
        <w:rPr>
          <w:sz w:val="20"/>
          <w:szCs w:val="20"/>
        </w:rPr>
        <w:t xml:space="preserve"> Jane Mossman, </w:t>
      </w:r>
      <w:r>
        <w:rPr>
          <w:i/>
          <w:sz w:val="20"/>
          <w:szCs w:val="20"/>
        </w:rPr>
        <w:t>Reconsidering Knowledge – Feminism and the Academy,</w:t>
      </w:r>
      <w:r>
        <w:rPr>
          <w:sz w:val="20"/>
          <w:szCs w:val="20"/>
        </w:rPr>
        <w:t xml:space="preserve"> Fernwood Press, Blackpoint, Canada, 2012;  </w:t>
      </w:r>
      <w:r w:rsidRPr="00F8338A">
        <w:rPr>
          <w:sz w:val="20"/>
          <w:szCs w:val="20"/>
        </w:rPr>
        <w:t xml:space="preserve">Jocelynne A. Scutt, </w:t>
      </w:r>
      <w:r>
        <w:rPr>
          <w:i/>
          <w:sz w:val="20"/>
          <w:szCs w:val="20"/>
        </w:rPr>
        <w:t>Women and the Law</w:t>
      </w:r>
      <w:r>
        <w:rPr>
          <w:sz w:val="20"/>
          <w:szCs w:val="20"/>
        </w:rPr>
        <w:t xml:space="preserve">, Law Book/Thomson Regulatory, Sydney, Australia, 1990;  </w:t>
      </w:r>
      <w:r w:rsidRPr="00585049">
        <w:rPr>
          <w:sz w:val="20"/>
          <w:szCs w:val="20"/>
        </w:rPr>
        <w:t>Margaret</w:t>
      </w:r>
      <w:r w:rsidRPr="00F8338A">
        <w:rPr>
          <w:sz w:val="20"/>
          <w:szCs w:val="20"/>
        </w:rPr>
        <w:t xml:space="preserve"> Thornton, </w:t>
      </w:r>
      <w:r>
        <w:rPr>
          <w:i/>
          <w:sz w:val="20"/>
          <w:szCs w:val="20"/>
        </w:rPr>
        <w:t>Dissonance and Distrust: Women and the Legal Profession</w:t>
      </w:r>
      <w:r>
        <w:rPr>
          <w:sz w:val="20"/>
          <w:szCs w:val="20"/>
        </w:rPr>
        <w:t xml:space="preserve">, Oxford University Press, Melbourne, Australia, 1996;  </w:t>
      </w:r>
      <w:r w:rsidRPr="0041052D">
        <w:rPr>
          <w:sz w:val="20"/>
          <w:szCs w:val="20"/>
        </w:rPr>
        <w:t>Regina</w:t>
      </w:r>
      <w:r w:rsidRPr="00F8338A">
        <w:rPr>
          <w:sz w:val="20"/>
          <w:szCs w:val="20"/>
        </w:rPr>
        <w:t xml:space="preserve"> Graycar and Jenny Morgan, </w:t>
      </w:r>
      <w:r w:rsidRPr="00F8338A">
        <w:rPr>
          <w:i/>
          <w:sz w:val="20"/>
          <w:szCs w:val="20"/>
        </w:rPr>
        <w:t xml:space="preserve">The Hidden Gender of Law, </w:t>
      </w:r>
      <w:r w:rsidRPr="00F8338A">
        <w:rPr>
          <w:sz w:val="20"/>
          <w:szCs w:val="20"/>
        </w:rPr>
        <w:t>2</w:t>
      </w:r>
      <w:r w:rsidRPr="00F8338A">
        <w:rPr>
          <w:sz w:val="20"/>
          <w:szCs w:val="20"/>
          <w:vertAlign w:val="superscript"/>
        </w:rPr>
        <w:t>nd</w:t>
      </w:r>
      <w:r w:rsidRPr="00F8338A">
        <w:rPr>
          <w:sz w:val="20"/>
          <w:szCs w:val="20"/>
        </w:rPr>
        <w:t xml:space="preserve"> edn, Federation Press, Sydney, Australia</w:t>
      </w:r>
      <w:r>
        <w:rPr>
          <w:sz w:val="20"/>
          <w:szCs w:val="20"/>
        </w:rPr>
        <w:t xml:space="preserve"> 2002.</w:t>
      </w:r>
    </w:p>
  </w:endnote>
  <w:endnote w:id="14">
    <w:p w14:paraId="754B901A" w14:textId="77777777" w:rsidR="006B6AC9" w:rsidRDefault="006B6AC9" w:rsidP="00893CDA">
      <w:pPr>
        <w:pStyle w:val="EndnoteText"/>
        <w:jc w:val="both"/>
      </w:pPr>
      <w:r>
        <w:rPr>
          <w:rStyle w:val="EndnoteReference"/>
        </w:rPr>
        <w:endnoteRef/>
      </w:r>
      <w:r>
        <w:t xml:space="preserve"> </w:t>
      </w:r>
      <w:r w:rsidR="00EC6339">
        <w:t xml:space="preserve">Louise Wilkinson, ‘Joan, </w:t>
      </w:r>
      <w:r w:rsidR="00B80D7F">
        <w:t>d</w:t>
      </w:r>
      <w:r w:rsidR="00EC6339">
        <w:t>aughter of King John</w:t>
      </w:r>
      <w:r w:rsidR="00B80D7F">
        <w:t xml:space="preserve"> and wife of Llywelyn the Great (d. 1237)</w:t>
      </w:r>
      <w:r w:rsidR="00EC6339">
        <w:t xml:space="preserve">’, </w:t>
      </w:r>
      <w:r w:rsidR="00B80D7F">
        <w:rPr>
          <w:i/>
        </w:rPr>
        <w:t>Women of Magna Carta</w:t>
      </w:r>
      <w:r w:rsidR="00B80D7F">
        <w:t xml:space="preserve">, </w:t>
      </w:r>
      <w:hyperlink r:id="rId7" w:history="1">
        <w:r w:rsidR="00B80D7F" w:rsidRPr="00D16DA4">
          <w:rPr>
            <w:rStyle w:val="Hyperlink"/>
          </w:rPr>
          <w:t>http://magnacarta800th.com/schools/biographies/women-of-magna-carta/joan/</w:t>
        </w:r>
      </w:hyperlink>
      <w:r w:rsidR="00B80D7F">
        <w:t xml:space="preserve"> (accessed 28 August 2015);  </w:t>
      </w:r>
      <w:r w:rsidR="00EC6339">
        <w:t xml:space="preserve"> </w:t>
      </w:r>
      <w:r w:rsidR="00B80D7F">
        <w:t xml:space="preserve">Louise Wilkinson, ‘Isabella, first wife of King John (d. 1217)’, </w:t>
      </w:r>
      <w:r w:rsidR="00B80D7F">
        <w:rPr>
          <w:i/>
        </w:rPr>
        <w:t>Women of Magna Carta</w:t>
      </w:r>
      <w:r w:rsidR="00B80D7F">
        <w:t xml:space="preserve">, </w:t>
      </w:r>
      <w:hyperlink r:id="rId8" w:history="1">
        <w:r w:rsidR="00B80D7F" w:rsidRPr="00D16DA4">
          <w:rPr>
            <w:rStyle w:val="Hyperlink"/>
          </w:rPr>
          <w:t>http://magnacarta800th.com/schools/biographies/women-of-magna-carta/isabella-of-gloucester/</w:t>
        </w:r>
      </w:hyperlink>
      <w:r w:rsidR="00B80D7F">
        <w:t xml:space="preserve"> (accessed 28 August 2015);  </w:t>
      </w:r>
      <w:r w:rsidR="00EC6339">
        <w:t xml:space="preserve">Louise Wilkinson, ‘Isabella of Angouleme, </w:t>
      </w:r>
      <w:r w:rsidR="00B80D7F">
        <w:t>w</w:t>
      </w:r>
      <w:r w:rsidR="00EC6339">
        <w:t xml:space="preserve">ife of King John’, </w:t>
      </w:r>
      <w:r w:rsidR="00B80D7F">
        <w:rPr>
          <w:i/>
        </w:rPr>
        <w:t>Women of Magna Carta</w:t>
      </w:r>
      <w:r w:rsidR="00B80D7F">
        <w:t xml:space="preserve">, </w:t>
      </w:r>
      <w:hyperlink r:id="rId9" w:history="1">
        <w:r w:rsidR="00B80D7F" w:rsidRPr="00D16DA4">
          <w:rPr>
            <w:rStyle w:val="Hyperlink"/>
          </w:rPr>
          <w:t>http://magnacarta800th.com/schools/biographies/women-of-magna-carta/isabella-of-angouleme-wife-of-king-john/</w:t>
        </w:r>
      </w:hyperlink>
      <w:r w:rsidR="00B80D7F">
        <w:t xml:space="preserve"> (accessed 28 August 2015);  </w:t>
      </w:r>
      <w:r w:rsidR="00893CDA">
        <w:t xml:space="preserve">Jessica A. Nelson, ‘Isabella, </w:t>
      </w:r>
      <w:r w:rsidR="00B80D7F">
        <w:t>c</w:t>
      </w:r>
      <w:r w:rsidR="00893CDA">
        <w:t xml:space="preserve">ountess of Norfolk’, </w:t>
      </w:r>
      <w:r w:rsidR="00B80D7F">
        <w:rPr>
          <w:i/>
        </w:rPr>
        <w:t>Women of Magna Carta</w:t>
      </w:r>
      <w:r w:rsidR="00B80D7F">
        <w:t xml:space="preserve">, </w:t>
      </w:r>
      <w:hyperlink r:id="rId10" w:history="1">
        <w:r w:rsidR="00B80D7F" w:rsidRPr="00D16DA4">
          <w:rPr>
            <w:rStyle w:val="Hyperlink"/>
          </w:rPr>
          <w:t>http://magnacarta800th.com/schools/biographies/women-of-magna-carta/isabella-princess-of-scotland-and-countess-of-norfolk/</w:t>
        </w:r>
      </w:hyperlink>
      <w:r w:rsidR="00B80D7F">
        <w:t xml:space="preserve"> (accessed 28 August 2015);  </w:t>
      </w:r>
      <w:r w:rsidR="00893CDA">
        <w:t>Loui</w:t>
      </w:r>
      <w:r w:rsidR="00B80D7F">
        <w:t>s</w:t>
      </w:r>
      <w:r w:rsidR="00893CDA">
        <w:t xml:space="preserve">e Wilkinson, ‘Margaret, </w:t>
      </w:r>
      <w:r w:rsidR="00B80D7F">
        <w:t>p</w:t>
      </w:r>
      <w:r w:rsidR="00893CDA">
        <w:t xml:space="preserve">rincess of Scotland’, </w:t>
      </w:r>
      <w:r w:rsidR="00B80D7F">
        <w:rPr>
          <w:i/>
        </w:rPr>
        <w:t xml:space="preserve">Women of Magna </w:t>
      </w:r>
      <w:r w:rsidR="00B80D7F" w:rsidRPr="00B80D7F">
        <w:t>Carta</w:t>
      </w:r>
      <w:r w:rsidR="00B80D7F">
        <w:t xml:space="preserve">, </w:t>
      </w:r>
      <w:hyperlink r:id="rId11" w:history="1">
        <w:r w:rsidR="00B80D7F" w:rsidRPr="00D16DA4">
          <w:rPr>
            <w:rStyle w:val="Hyperlink"/>
          </w:rPr>
          <w:t>http://magnacarta800th.com/schools/biographies/women-of-magna-carta/margaret-princess-of-scotland-and-countess-of-kent/</w:t>
        </w:r>
      </w:hyperlink>
      <w:r w:rsidR="00B80D7F">
        <w:t xml:space="preserve"> (accessed 28 August 2015)</w:t>
      </w:r>
      <w:r w:rsidR="00893CDA">
        <w:t>.</w:t>
      </w:r>
    </w:p>
  </w:endnote>
  <w:endnote w:id="15">
    <w:p w14:paraId="6EE43C63" w14:textId="77777777" w:rsidR="00DE0B39" w:rsidRDefault="00DE0B39" w:rsidP="00DE0B39">
      <w:pPr>
        <w:spacing w:after="0" w:line="276" w:lineRule="auto"/>
        <w:jc w:val="both"/>
      </w:pPr>
      <w:r>
        <w:rPr>
          <w:rStyle w:val="EndnoteReference"/>
        </w:rPr>
        <w:endnoteRef/>
      </w:r>
      <w:r>
        <w:t xml:space="preserve">  </w:t>
      </w:r>
      <w:r w:rsidR="00E4119F">
        <w:rPr>
          <w:sz w:val="20"/>
          <w:szCs w:val="20"/>
        </w:rPr>
        <w:t xml:space="preserve">Mary Ritter Beard, </w:t>
      </w:r>
      <w:r w:rsidRPr="00D371F8">
        <w:rPr>
          <w:i/>
          <w:sz w:val="20"/>
          <w:szCs w:val="20"/>
        </w:rPr>
        <w:t>Woman as Force in History – A Study in Traditions and Realities</w:t>
      </w:r>
      <w:r w:rsidRPr="00D371F8">
        <w:rPr>
          <w:sz w:val="20"/>
          <w:szCs w:val="20"/>
        </w:rPr>
        <w:t>, Collier, NY, USA, 1</w:t>
      </w:r>
      <w:r w:rsidRPr="00D371F8">
        <w:rPr>
          <w:sz w:val="20"/>
          <w:szCs w:val="20"/>
          <w:vertAlign w:val="superscript"/>
        </w:rPr>
        <w:t>st</w:t>
      </w:r>
      <w:r w:rsidRPr="00D371F8">
        <w:rPr>
          <w:sz w:val="20"/>
          <w:szCs w:val="20"/>
        </w:rPr>
        <w:t xml:space="preserve"> edn, 1946;  reprint Octagon Books, </w:t>
      </w:r>
      <w:r>
        <w:rPr>
          <w:sz w:val="20"/>
          <w:szCs w:val="20"/>
        </w:rPr>
        <w:t>1976.</w:t>
      </w:r>
    </w:p>
  </w:endnote>
  <w:endnote w:id="16">
    <w:p w14:paraId="44EDA76A" w14:textId="77777777" w:rsidR="00BC0257" w:rsidRDefault="00BC0257" w:rsidP="00D570CA">
      <w:pPr>
        <w:spacing w:after="0" w:line="276" w:lineRule="auto"/>
        <w:jc w:val="both"/>
      </w:pPr>
      <w:r>
        <w:rPr>
          <w:rStyle w:val="EndnoteReference"/>
        </w:rPr>
        <w:endnoteRef/>
      </w:r>
      <w:r>
        <w:t xml:space="preserve"> </w:t>
      </w:r>
      <w:r>
        <w:rPr>
          <w:sz w:val="20"/>
          <w:szCs w:val="20"/>
        </w:rPr>
        <w:t xml:space="preserve">Harriet Taylor Mill, ‘Enfranchisement of Women’, </w:t>
      </w:r>
      <w:r>
        <w:rPr>
          <w:i/>
          <w:sz w:val="20"/>
          <w:szCs w:val="20"/>
        </w:rPr>
        <w:t>West</w:t>
      </w:r>
      <w:r w:rsidR="001A26FA">
        <w:rPr>
          <w:i/>
          <w:sz w:val="20"/>
          <w:szCs w:val="20"/>
        </w:rPr>
        <w:t>m</w:t>
      </w:r>
      <w:r>
        <w:rPr>
          <w:i/>
          <w:sz w:val="20"/>
          <w:szCs w:val="20"/>
        </w:rPr>
        <w:t>inster Review</w:t>
      </w:r>
      <w:r>
        <w:rPr>
          <w:sz w:val="20"/>
          <w:szCs w:val="20"/>
        </w:rPr>
        <w:t xml:space="preserve">, July 1851, pp. 295-96;  reprinted Ann P. Robson and John M. Robson (eds), </w:t>
      </w:r>
      <w:r>
        <w:rPr>
          <w:i/>
          <w:sz w:val="20"/>
          <w:szCs w:val="20"/>
        </w:rPr>
        <w:t>Sexual equality: Writings by John Stuart Mill, Harriet Taylor Mill, and Helen Taylor</w:t>
      </w:r>
      <w:r>
        <w:rPr>
          <w:sz w:val="20"/>
          <w:szCs w:val="20"/>
        </w:rPr>
        <w:t>, University of Toronto Press, Toronto, Canada, 1994, pp. 178-203. The following quotation</w:t>
      </w:r>
      <w:r w:rsidR="00612339">
        <w:rPr>
          <w:sz w:val="20"/>
          <w:szCs w:val="20"/>
        </w:rPr>
        <w:t>s</w:t>
      </w:r>
      <w:r>
        <w:rPr>
          <w:sz w:val="20"/>
          <w:szCs w:val="20"/>
        </w:rPr>
        <w:t xml:space="preserve"> </w:t>
      </w:r>
      <w:r w:rsidR="00612339">
        <w:rPr>
          <w:sz w:val="20"/>
          <w:szCs w:val="20"/>
        </w:rPr>
        <w:t>are</w:t>
      </w:r>
      <w:r>
        <w:rPr>
          <w:sz w:val="20"/>
          <w:szCs w:val="20"/>
        </w:rPr>
        <w:t xml:space="preserve"> from the same source.</w:t>
      </w:r>
      <w:r>
        <w:t xml:space="preserve"> </w:t>
      </w:r>
    </w:p>
  </w:endnote>
  <w:endnote w:id="17">
    <w:p w14:paraId="6C3C5450" w14:textId="77777777" w:rsidR="00B80D7F" w:rsidRPr="00D570CA" w:rsidRDefault="00D570CA" w:rsidP="00D570CA">
      <w:pPr>
        <w:pStyle w:val="EndnoteText"/>
        <w:jc w:val="both"/>
      </w:pPr>
      <w:r>
        <w:rPr>
          <w:rStyle w:val="EndnoteReference"/>
        </w:rPr>
        <w:endnoteRef/>
      </w:r>
      <w:r>
        <w:t xml:space="preserve"> Michael Beloff, ‘Magna Carta in the Twentieth and Twenty First Centuries’, </w:t>
      </w:r>
      <w:r>
        <w:rPr>
          <w:i/>
        </w:rPr>
        <w:t>Denning Law Journal</w:t>
      </w:r>
      <w:r>
        <w:t>, 2015, vol. 27, pp. 1-44, at p. 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333F" w14:textId="77777777" w:rsidR="0061798A" w:rsidRDefault="00617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574105"/>
      <w:docPartObj>
        <w:docPartGallery w:val="Page Numbers (Bottom of Page)"/>
        <w:docPartUnique/>
      </w:docPartObj>
    </w:sdtPr>
    <w:sdtEndPr>
      <w:rPr>
        <w:noProof/>
      </w:rPr>
    </w:sdtEndPr>
    <w:sdtContent>
      <w:p w14:paraId="6C8CC8D4" w14:textId="77777777" w:rsidR="0061798A" w:rsidRDefault="0061798A">
        <w:pPr>
          <w:pStyle w:val="Footer"/>
          <w:jc w:val="right"/>
        </w:pPr>
        <w:r>
          <w:fldChar w:fldCharType="begin"/>
        </w:r>
        <w:r>
          <w:instrText xml:space="preserve"> PAGE   \* MERGEFORMAT </w:instrText>
        </w:r>
        <w:r>
          <w:fldChar w:fldCharType="separate"/>
        </w:r>
        <w:r w:rsidR="00605169">
          <w:rPr>
            <w:noProof/>
          </w:rPr>
          <w:t>8</w:t>
        </w:r>
        <w:r>
          <w:rPr>
            <w:noProof/>
          </w:rPr>
          <w:fldChar w:fldCharType="end"/>
        </w:r>
      </w:p>
    </w:sdtContent>
  </w:sdt>
  <w:p w14:paraId="70015EC1" w14:textId="77777777" w:rsidR="0061798A" w:rsidRDefault="006179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8D5F" w14:textId="77777777" w:rsidR="0061798A" w:rsidRDefault="00617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0320" w14:textId="77777777" w:rsidR="0061798A" w:rsidRDefault="0061798A" w:rsidP="0033445F">
      <w:pPr>
        <w:spacing w:after="0" w:line="240" w:lineRule="auto"/>
      </w:pPr>
      <w:r>
        <w:separator/>
      </w:r>
    </w:p>
  </w:footnote>
  <w:footnote w:type="continuationSeparator" w:id="0">
    <w:p w14:paraId="5F37651E" w14:textId="77777777" w:rsidR="0061798A" w:rsidRDefault="0061798A" w:rsidP="00334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C9BD" w14:textId="77777777" w:rsidR="0061798A" w:rsidRDefault="00617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244D" w14:textId="77777777" w:rsidR="0061798A" w:rsidRDefault="006179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90C3" w14:textId="77777777" w:rsidR="0061798A" w:rsidRDefault="00617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B44"/>
    <w:multiLevelType w:val="multilevel"/>
    <w:tmpl w:val="17D6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76573"/>
    <w:multiLevelType w:val="multilevel"/>
    <w:tmpl w:val="84AE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75D04"/>
    <w:multiLevelType w:val="multilevel"/>
    <w:tmpl w:val="6A30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CD0243"/>
    <w:multiLevelType w:val="hybridMultilevel"/>
    <w:tmpl w:val="D762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C29E5"/>
    <w:multiLevelType w:val="multilevel"/>
    <w:tmpl w:val="F0DA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1D144A"/>
    <w:multiLevelType w:val="multilevel"/>
    <w:tmpl w:val="1CC4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1619842">
    <w:abstractNumId w:val="3"/>
  </w:num>
  <w:num w:numId="2" w16cid:durableId="779305215">
    <w:abstractNumId w:val="2"/>
  </w:num>
  <w:num w:numId="3" w16cid:durableId="307171365">
    <w:abstractNumId w:val="5"/>
  </w:num>
  <w:num w:numId="4" w16cid:durableId="1792895686">
    <w:abstractNumId w:val="4"/>
  </w:num>
  <w:num w:numId="5" w16cid:durableId="1505125487">
    <w:abstractNumId w:val="0"/>
  </w:num>
  <w:num w:numId="6" w16cid:durableId="3172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C1"/>
    <w:rsid w:val="00016650"/>
    <w:rsid w:val="00047ECB"/>
    <w:rsid w:val="00075287"/>
    <w:rsid w:val="000846CF"/>
    <w:rsid w:val="00086C57"/>
    <w:rsid w:val="000A3707"/>
    <w:rsid w:val="000A6A64"/>
    <w:rsid w:val="000B478C"/>
    <w:rsid w:val="000B7982"/>
    <w:rsid w:val="000D554D"/>
    <w:rsid w:val="000F3E31"/>
    <w:rsid w:val="00102581"/>
    <w:rsid w:val="0012234B"/>
    <w:rsid w:val="00123FB7"/>
    <w:rsid w:val="00142AFB"/>
    <w:rsid w:val="001519EC"/>
    <w:rsid w:val="00153462"/>
    <w:rsid w:val="00165E1A"/>
    <w:rsid w:val="00167F49"/>
    <w:rsid w:val="00173439"/>
    <w:rsid w:val="00177EF1"/>
    <w:rsid w:val="0018099B"/>
    <w:rsid w:val="001821CF"/>
    <w:rsid w:val="00184045"/>
    <w:rsid w:val="001840E3"/>
    <w:rsid w:val="00191B04"/>
    <w:rsid w:val="001965B9"/>
    <w:rsid w:val="00197A34"/>
    <w:rsid w:val="001A26FA"/>
    <w:rsid w:val="001A2A66"/>
    <w:rsid w:val="001A2B71"/>
    <w:rsid w:val="001A5EA6"/>
    <w:rsid w:val="001C2303"/>
    <w:rsid w:val="001D592B"/>
    <w:rsid w:val="001E7B73"/>
    <w:rsid w:val="001F1279"/>
    <w:rsid w:val="002004B6"/>
    <w:rsid w:val="00210646"/>
    <w:rsid w:val="00212BAF"/>
    <w:rsid w:val="00214B2E"/>
    <w:rsid w:val="00216207"/>
    <w:rsid w:val="0022005F"/>
    <w:rsid w:val="00221694"/>
    <w:rsid w:val="00233F52"/>
    <w:rsid w:val="00251F82"/>
    <w:rsid w:val="00252BAC"/>
    <w:rsid w:val="00253396"/>
    <w:rsid w:val="002612FE"/>
    <w:rsid w:val="00275064"/>
    <w:rsid w:val="0027513B"/>
    <w:rsid w:val="0028122D"/>
    <w:rsid w:val="002830BF"/>
    <w:rsid w:val="00291031"/>
    <w:rsid w:val="002A4770"/>
    <w:rsid w:val="002A53A0"/>
    <w:rsid w:val="002B0409"/>
    <w:rsid w:val="002B1746"/>
    <w:rsid w:val="002B5760"/>
    <w:rsid w:val="002B7AEE"/>
    <w:rsid w:val="002C5C54"/>
    <w:rsid w:val="002C63CE"/>
    <w:rsid w:val="002D69A4"/>
    <w:rsid w:val="002D71B4"/>
    <w:rsid w:val="003023C2"/>
    <w:rsid w:val="00321395"/>
    <w:rsid w:val="0033177B"/>
    <w:rsid w:val="00332EAE"/>
    <w:rsid w:val="0033445F"/>
    <w:rsid w:val="003362F3"/>
    <w:rsid w:val="00336390"/>
    <w:rsid w:val="003407C0"/>
    <w:rsid w:val="00343110"/>
    <w:rsid w:val="00360708"/>
    <w:rsid w:val="00360734"/>
    <w:rsid w:val="00361D2A"/>
    <w:rsid w:val="00371009"/>
    <w:rsid w:val="00380BB5"/>
    <w:rsid w:val="00385AC1"/>
    <w:rsid w:val="00390587"/>
    <w:rsid w:val="003A49C8"/>
    <w:rsid w:val="003A7FA7"/>
    <w:rsid w:val="003C6657"/>
    <w:rsid w:val="003D09AB"/>
    <w:rsid w:val="003D24B5"/>
    <w:rsid w:val="003E0E21"/>
    <w:rsid w:val="003E357C"/>
    <w:rsid w:val="003F2731"/>
    <w:rsid w:val="003F5644"/>
    <w:rsid w:val="003F6A6D"/>
    <w:rsid w:val="00402B57"/>
    <w:rsid w:val="00405BF1"/>
    <w:rsid w:val="00407E6F"/>
    <w:rsid w:val="0041052D"/>
    <w:rsid w:val="00412E09"/>
    <w:rsid w:val="00420F1A"/>
    <w:rsid w:val="00424EC1"/>
    <w:rsid w:val="0043253A"/>
    <w:rsid w:val="00434861"/>
    <w:rsid w:val="00437ED9"/>
    <w:rsid w:val="00440E36"/>
    <w:rsid w:val="00446F62"/>
    <w:rsid w:val="00450B78"/>
    <w:rsid w:val="004515AD"/>
    <w:rsid w:val="00466D7C"/>
    <w:rsid w:val="00473310"/>
    <w:rsid w:val="00486BF2"/>
    <w:rsid w:val="004911C4"/>
    <w:rsid w:val="00492904"/>
    <w:rsid w:val="0049447D"/>
    <w:rsid w:val="004B638A"/>
    <w:rsid w:val="004B7FFB"/>
    <w:rsid w:val="004C5C2B"/>
    <w:rsid w:val="004E04D7"/>
    <w:rsid w:val="00507563"/>
    <w:rsid w:val="005200C1"/>
    <w:rsid w:val="00522A57"/>
    <w:rsid w:val="005246E8"/>
    <w:rsid w:val="00535F72"/>
    <w:rsid w:val="005521E9"/>
    <w:rsid w:val="005535E2"/>
    <w:rsid w:val="005541F0"/>
    <w:rsid w:val="00556899"/>
    <w:rsid w:val="00557AE3"/>
    <w:rsid w:val="005604C1"/>
    <w:rsid w:val="0056415B"/>
    <w:rsid w:val="00565D00"/>
    <w:rsid w:val="005670A4"/>
    <w:rsid w:val="0057179E"/>
    <w:rsid w:val="00576618"/>
    <w:rsid w:val="00583480"/>
    <w:rsid w:val="00583BBC"/>
    <w:rsid w:val="00585049"/>
    <w:rsid w:val="00585F12"/>
    <w:rsid w:val="00586AB4"/>
    <w:rsid w:val="0059153E"/>
    <w:rsid w:val="00591CFC"/>
    <w:rsid w:val="00591F18"/>
    <w:rsid w:val="00594E2A"/>
    <w:rsid w:val="005A39B4"/>
    <w:rsid w:val="005A7816"/>
    <w:rsid w:val="005B0EC4"/>
    <w:rsid w:val="005B5B17"/>
    <w:rsid w:val="005C4FBB"/>
    <w:rsid w:val="005F2F43"/>
    <w:rsid w:val="00605169"/>
    <w:rsid w:val="006067C1"/>
    <w:rsid w:val="006119D3"/>
    <w:rsid w:val="00612339"/>
    <w:rsid w:val="006150F9"/>
    <w:rsid w:val="0061798A"/>
    <w:rsid w:val="00624B05"/>
    <w:rsid w:val="006342ED"/>
    <w:rsid w:val="00637C71"/>
    <w:rsid w:val="006507BC"/>
    <w:rsid w:val="00654B05"/>
    <w:rsid w:val="00656608"/>
    <w:rsid w:val="00661D0C"/>
    <w:rsid w:val="00666B93"/>
    <w:rsid w:val="00670299"/>
    <w:rsid w:val="00671914"/>
    <w:rsid w:val="00673F9A"/>
    <w:rsid w:val="00677436"/>
    <w:rsid w:val="006819D4"/>
    <w:rsid w:val="00683A26"/>
    <w:rsid w:val="00687BA5"/>
    <w:rsid w:val="006909E8"/>
    <w:rsid w:val="00690FF3"/>
    <w:rsid w:val="006930B4"/>
    <w:rsid w:val="00693E27"/>
    <w:rsid w:val="006B0D58"/>
    <w:rsid w:val="006B2667"/>
    <w:rsid w:val="006B5140"/>
    <w:rsid w:val="006B5FCF"/>
    <w:rsid w:val="006B6940"/>
    <w:rsid w:val="006B6AC9"/>
    <w:rsid w:val="006C0B8F"/>
    <w:rsid w:val="006C5757"/>
    <w:rsid w:val="006D21A2"/>
    <w:rsid w:val="006D33AE"/>
    <w:rsid w:val="006D72D8"/>
    <w:rsid w:val="006E79C9"/>
    <w:rsid w:val="006F1FE0"/>
    <w:rsid w:val="006F405B"/>
    <w:rsid w:val="006F6EE3"/>
    <w:rsid w:val="00713A52"/>
    <w:rsid w:val="00721F0C"/>
    <w:rsid w:val="00725C0F"/>
    <w:rsid w:val="00731356"/>
    <w:rsid w:val="00737CA6"/>
    <w:rsid w:val="00753E3C"/>
    <w:rsid w:val="00753E69"/>
    <w:rsid w:val="00755534"/>
    <w:rsid w:val="00764722"/>
    <w:rsid w:val="00765C16"/>
    <w:rsid w:val="0076785B"/>
    <w:rsid w:val="00775A81"/>
    <w:rsid w:val="00780565"/>
    <w:rsid w:val="007827DA"/>
    <w:rsid w:val="007878B6"/>
    <w:rsid w:val="007A0EEE"/>
    <w:rsid w:val="007B1D59"/>
    <w:rsid w:val="007B50DC"/>
    <w:rsid w:val="007C02F4"/>
    <w:rsid w:val="007C0CCE"/>
    <w:rsid w:val="007C15E7"/>
    <w:rsid w:val="007C25A0"/>
    <w:rsid w:val="007C40F1"/>
    <w:rsid w:val="007D0493"/>
    <w:rsid w:val="007D11AA"/>
    <w:rsid w:val="007E36EA"/>
    <w:rsid w:val="007E3B92"/>
    <w:rsid w:val="007E5427"/>
    <w:rsid w:val="007E63B6"/>
    <w:rsid w:val="007F0B4A"/>
    <w:rsid w:val="007F2029"/>
    <w:rsid w:val="007F6398"/>
    <w:rsid w:val="0080089B"/>
    <w:rsid w:val="00801A59"/>
    <w:rsid w:val="00803EB5"/>
    <w:rsid w:val="00815ADD"/>
    <w:rsid w:val="008160E7"/>
    <w:rsid w:val="00821DEB"/>
    <w:rsid w:val="00824E85"/>
    <w:rsid w:val="00825D97"/>
    <w:rsid w:val="00834410"/>
    <w:rsid w:val="0084704C"/>
    <w:rsid w:val="00861460"/>
    <w:rsid w:val="00864C94"/>
    <w:rsid w:val="00866DBF"/>
    <w:rsid w:val="0087080A"/>
    <w:rsid w:val="00871A13"/>
    <w:rsid w:val="008732CB"/>
    <w:rsid w:val="00893CDA"/>
    <w:rsid w:val="00897275"/>
    <w:rsid w:val="008A5744"/>
    <w:rsid w:val="008A7F1E"/>
    <w:rsid w:val="008B388A"/>
    <w:rsid w:val="008D2649"/>
    <w:rsid w:val="008D4043"/>
    <w:rsid w:val="008D48DB"/>
    <w:rsid w:val="008D7C30"/>
    <w:rsid w:val="008E674F"/>
    <w:rsid w:val="008F26A6"/>
    <w:rsid w:val="008F7261"/>
    <w:rsid w:val="009004BC"/>
    <w:rsid w:val="0090323D"/>
    <w:rsid w:val="00903C95"/>
    <w:rsid w:val="00906C67"/>
    <w:rsid w:val="009175C7"/>
    <w:rsid w:val="00952997"/>
    <w:rsid w:val="009711BC"/>
    <w:rsid w:val="00981883"/>
    <w:rsid w:val="009970ED"/>
    <w:rsid w:val="009A09C6"/>
    <w:rsid w:val="009A1626"/>
    <w:rsid w:val="009B11C0"/>
    <w:rsid w:val="009B1C68"/>
    <w:rsid w:val="009C5FCD"/>
    <w:rsid w:val="009D40D4"/>
    <w:rsid w:val="009D77E4"/>
    <w:rsid w:val="009E485E"/>
    <w:rsid w:val="009E4A9F"/>
    <w:rsid w:val="009F207F"/>
    <w:rsid w:val="00A00C32"/>
    <w:rsid w:val="00A03406"/>
    <w:rsid w:val="00A044F7"/>
    <w:rsid w:val="00A06FC0"/>
    <w:rsid w:val="00A110D1"/>
    <w:rsid w:val="00A15C6D"/>
    <w:rsid w:val="00A3059E"/>
    <w:rsid w:val="00A36F62"/>
    <w:rsid w:val="00A50A53"/>
    <w:rsid w:val="00A5355B"/>
    <w:rsid w:val="00A56B71"/>
    <w:rsid w:val="00A66C1F"/>
    <w:rsid w:val="00A72EE3"/>
    <w:rsid w:val="00A745A3"/>
    <w:rsid w:val="00A75557"/>
    <w:rsid w:val="00A75CCD"/>
    <w:rsid w:val="00A76B23"/>
    <w:rsid w:val="00A850DE"/>
    <w:rsid w:val="00A924FA"/>
    <w:rsid w:val="00AA697F"/>
    <w:rsid w:val="00AA75E5"/>
    <w:rsid w:val="00AB5436"/>
    <w:rsid w:val="00AB615A"/>
    <w:rsid w:val="00AC0747"/>
    <w:rsid w:val="00AC4C45"/>
    <w:rsid w:val="00AC6859"/>
    <w:rsid w:val="00AC6D77"/>
    <w:rsid w:val="00AD00D6"/>
    <w:rsid w:val="00AD09AF"/>
    <w:rsid w:val="00AD5846"/>
    <w:rsid w:val="00AF4BFF"/>
    <w:rsid w:val="00B00249"/>
    <w:rsid w:val="00B00838"/>
    <w:rsid w:val="00B12231"/>
    <w:rsid w:val="00B227E2"/>
    <w:rsid w:val="00B266F5"/>
    <w:rsid w:val="00B269ED"/>
    <w:rsid w:val="00B26E0A"/>
    <w:rsid w:val="00B3038F"/>
    <w:rsid w:val="00B339EC"/>
    <w:rsid w:val="00B63BDF"/>
    <w:rsid w:val="00B71E72"/>
    <w:rsid w:val="00B72ABA"/>
    <w:rsid w:val="00B80D7F"/>
    <w:rsid w:val="00B815C6"/>
    <w:rsid w:val="00B83132"/>
    <w:rsid w:val="00B903FE"/>
    <w:rsid w:val="00BA25AE"/>
    <w:rsid w:val="00BA4892"/>
    <w:rsid w:val="00BA6C88"/>
    <w:rsid w:val="00BB0AE9"/>
    <w:rsid w:val="00BB17D7"/>
    <w:rsid w:val="00BB502A"/>
    <w:rsid w:val="00BB60E9"/>
    <w:rsid w:val="00BC0257"/>
    <w:rsid w:val="00BC2744"/>
    <w:rsid w:val="00BC5C38"/>
    <w:rsid w:val="00BD1312"/>
    <w:rsid w:val="00BD2428"/>
    <w:rsid w:val="00BE15E5"/>
    <w:rsid w:val="00BF4581"/>
    <w:rsid w:val="00BF603B"/>
    <w:rsid w:val="00C02A01"/>
    <w:rsid w:val="00C05025"/>
    <w:rsid w:val="00C326CD"/>
    <w:rsid w:val="00C41557"/>
    <w:rsid w:val="00C4675C"/>
    <w:rsid w:val="00C51C6F"/>
    <w:rsid w:val="00C56A3A"/>
    <w:rsid w:val="00C70124"/>
    <w:rsid w:val="00C90821"/>
    <w:rsid w:val="00C97964"/>
    <w:rsid w:val="00CA0403"/>
    <w:rsid w:val="00CA2C1A"/>
    <w:rsid w:val="00CA2C2D"/>
    <w:rsid w:val="00CA34BE"/>
    <w:rsid w:val="00CB3F37"/>
    <w:rsid w:val="00CB4E9D"/>
    <w:rsid w:val="00CB68F2"/>
    <w:rsid w:val="00CC56D3"/>
    <w:rsid w:val="00CD349B"/>
    <w:rsid w:val="00CE0AE0"/>
    <w:rsid w:val="00CE3959"/>
    <w:rsid w:val="00CF0CF9"/>
    <w:rsid w:val="00CF1DB2"/>
    <w:rsid w:val="00D04498"/>
    <w:rsid w:val="00D116F0"/>
    <w:rsid w:val="00D15C72"/>
    <w:rsid w:val="00D20237"/>
    <w:rsid w:val="00D20F56"/>
    <w:rsid w:val="00D27E13"/>
    <w:rsid w:val="00D31B6B"/>
    <w:rsid w:val="00D31D14"/>
    <w:rsid w:val="00D331E5"/>
    <w:rsid w:val="00D371F8"/>
    <w:rsid w:val="00D37A1A"/>
    <w:rsid w:val="00D41B12"/>
    <w:rsid w:val="00D4278F"/>
    <w:rsid w:val="00D4391D"/>
    <w:rsid w:val="00D43BB8"/>
    <w:rsid w:val="00D444EF"/>
    <w:rsid w:val="00D55C12"/>
    <w:rsid w:val="00D56B58"/>
    <w:rsid w:val="00D570CA"/>
    <w:rsid w:val="00D75B80"/>
    <w:rsid w:val="00D87D22"/>
    <w:rsid w:val="00D90977"/>
    <w:rsid w:val="00D928C9"/>
    <w:rsid w:val="00D92BB5"/>
    <w:rsid w:val="00D94E7B"/>
    <w:rsid w:val="00D964D0"/>
    <w:rsid w:val="00DC1DE5"/>
    <w:rsid w:val="00DC3869"/>
    <w:rsid w:val="00DC3EF7"/>
    <w:rsid w:val="00DC4ADC"/>
    <w:rsid w:val="00DC5F86"/>
    <w:rsid w:val="00DD121E"/>
    <w:rsid w:val="00DD421D"/>
    <w:rsid w:val="00DD734E"/>
    <w:rsid w:val="00DE0B39"/>
    <w:rsid w:val="00DE3C19"/>
    <w:rsid w:val="00DF4291"/>
    <w:rsid w:val="00E06096"/>
    <w:rsid w:val="00E1273B"/>
    <w:rsid w:val="00E2389C"/>
    <w:rsid w:val="00E31E73"/>
    <w:rsid w:val="00E32613"/>
    <w:rsid w:val="00E4119F"/>
    <w:rsid w:val="00E44901"/>
    <w:rsid w:val="00E5159E"/>
    <w:rsid w:val="00E54795"/>
    <w:rsid w:val="00E56F94"/>
    <w:rsid w:val="00E6203A"/>
    <w:rsid w:val="00E677C6"/>
    <w:rsid w:val="00E740D6"/>
    <w:rsid w:val="00E84AE4"/>
    <w:rsid w:val="00E86468"/>
    <w:rsid w:val="00E913BC"/>
    <w:rsid w:val="00E92843"/>
    <w:rsid w:val="00E9780D"/>
    <w:rsid w:val="00EA6C88"/>
    <w:rsid w:val="00EA77FF"/>
    <w:rsid w:val="00EC6339"/>
    <w:rsid w:val="00ED05B8"/>
    <w:rsid w:val="00ED3948"/>
    <w:rsid w:val="00EE3B52"/>
    <w:rsid w:val="00EE56DC"/>
    <w:rsid w:val="00EF089C"/>
    <w:rsid w:val="00EF2DAF"/>
    <w:rsid w:val="00F0760D"/>
    <w:rsid w:val="00F07DD0"/>
    <w:rsid w:val="00F31D88"/>
    <w:rsid w:val="00F448D1"/>
    <w:rsid w:val="00F52131"/>
    <w:rsid w:val="00F5755F"/>
    <w:rsid w:val="00F60A55"/>
    <w:rsid w:val="00F8338A"/>
    <w:rsid w:val="00F83A8B"/>
    <w:rsid w:val="00F8744E"/>
    <w:rsid w:val="00FA2B21"/>
    <w:rsid w:val="00FA3263"/>
    <w:rsid w:val="00FB0DBF"/>
    <w:rsid w:val="00FB6D7C"/>
    <w:rsid w:val="00FC4EA8"/>
    <w:rsid w:val="00FC6E65"/>
    <w:rsid w:val="00FD61DB"/>
    <w:rsid w:val="00FF1C12"/>
    <w:rsid w:val="00FF7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34D6"/>
  <w15:chartTrackingRefBased/>
  <w15:docId w15:val="{8C1A4764-C304-42D0-95ED-85006CB9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E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3445F"/>
    <w:pPr>
      <w:spacing w:before="100" w:beforeAutospacing="1" w:after="100" w:afterAutospacing="1" w:line="240" w:lineRule="auto"/>
      <w:outlineLvl w:val="1"/>
    </w:pPr>
    <w:rPr>
      <w:rFonts w:ascii="Arial" w:eastAsia="Times New Roman" w:hAnsi="Arial" w:cs="Arial"/>
      <w:caps/>
      <w:color w:val="999999"/>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3A"/>
    <w:pPr>
      <w:spacing w:after="200" w:line="276" w:lineRule="auto"/>
      <w:ind w:left="720"/>
      <w:contextualSpacing/>
    </w:pPr>
    <w:rPr>
      <w:rFonts w:eastAsiaTheme="minorEastAsia"/>
      <w:lang w:eastAsia="en-GB"/>
    </w:rPr>
  </w:style>
  <w:style w:type="character" w:styleId="Strong">
    <w:name w:val="Strong"/>
    <w:basedOn w:val="DefaultParagraphFont"/>
    <w:uiPriority w:val="22"/>
    <w:qFormat/>
    <w:rsid w:val="00EE3B52"/>
    <w:rPr>
      <w:b/>
      <w:bCs/>
    </w:rPr>
  </w:style>
  <w:style w:type="paragraph" w:styleId="EndnoteText">
    <w:name w:val="endnote text"/>
    <w:basedOn w:val="Normal"/>
    <w:link w:val="EndnoteTextChar"/>
    <w:uiPriority w:val="99"/>
    <w:semiHidden/>
    <w:unhideWhenUsed/>
    <w:rsid w:val="003344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445F"/>
    <w:rPr>
      <w:sz w:val="20"/>
      <w:szCs w:val="20"/>
    </w:rPr>
  </w:style>
  <w:style w:type="character" w:styleId="EndnoteReference">
    <w:name w:val="endnote reference"/>
    <w:basedOn w:val="DefaultParagraphFont"/>
    <w:uiPriority w:val="99"/>
    <w:semiHidden/>
    <w:unhideWhenUsed/>
    <w:rsid w:val="0033445F"/>
    <w:rPr>
      <w:vertAlign w:val="superscript"/>
    </w:rPr>
  </w:style>
  <w:style w:type="character" w:customStyle="1" w:styleId="Heading2Char">
    <w:name w:val="Heading 2 Char"/>
    <w:basedOn w:val="DefaultParagraphFont"/>
    <w:link w:val="Heading2"/>
    <w:uiPriority w:val="9"/>
    <w:rsid w:val="0033445F"/>
    <w:rPr>
      <w:rFonts w:ascii="Arial" w:eastAsia="Times New Roman" w:hAnsi="Arial" w:cs="Arial"/>
      <w:caps/>
      <w:color w:val="999999"/>
      <w:sz w:val="42"/>
      <w:szCs w:val="42"/>
      <w:lang w:eastAsia="en-GB"/>
    </w:rPr>
  </w:style>
  <w:style w:type="paragraph" w:styleId="NormalWeb">
    <w:name w:val="Normal (Web)"/>
    <w:basedOn w:val="Normal"/>
    <w:uiPriority w:val="99"/>
    <w:semiHidden/>
    <w:unhideWhenUsed/>
    <w:rsid w:val="0033445F"/>
    <w:pPr>
      <w:spacing w:after="0" w:line="360" w:lineRule="atLeast"/>
    </w:pPr>
    <w:rPr>
      <w:rFonts w:ascii="Times New Roman" w:eastAsia="Times New Roman" w:hAnsi="Times New Roman" w:cs="Times New Roman"/>
      <w:color w:val="333333"/>
      <w:sz w:val="31"/>
      <w:szCs w:val="31"/>
      <w:lang w:eastAsia="en-GB"/>
    </w:rPr>
  </w:style>
  <w:style w:type="character" w:styleId="Hyperlink">
    <w:name w:val="Hyperlink"/>
    <w:basedOn w:val="DefaultParagraphFont"/>
    <w:uiPriority w:val="99"/>
    <w:unhideWhenUsed/>
    <w:rsid w:val="0033445F"/>
    <w:rPr>
      <w:color w:val="0563C1" w:themeColor="hyperlink"/>
      <w:u w:val="single"/>
    </w:rPr>
  </w:style>
  <w:style w:type="character" w:customStyle="1" w:styleId="mathjaximage">
    <w:name w:val="mathjaximage"/>
    <w:basedOn w:val="DefaultParagraphFont"/>
    <w:rsid w:val="00142AFB"/>
  </w:style>
  <w:style w:type="paragraph" w:styleId="Header">
    <w:name w:val="header"/>
    <w:basedOn w:val="Normal"/>
    <w:link w:val="HeaderChar"/>
    <w:uiPriority w:val="99"/>
    <w:unhideWhenUsed/>
    <w:rsid w:val="00DC3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EF7"/>
  </w:style>
  <w:style w:type="paragraph" w:styleId="Footer">
    <w:name w:val="footer"/>
    <w:basedOn w:val="Normal"/>
    <w:link w:val="FooterChar"/>
    <w:uiPriority w:val="99"/>
    <w:unhideWhenUsed/>
    <w:rsid w:val="00DC3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EF7"/>
  </w:style>
  <w:style w:type="character" w:styleId="Emphasis">
    <w:name w:val="Emphasis"/>
    <w:basedOn w:val="DefaultParagraphFont"/>
    <w:uiPriority w:val="20"/>
    <w:qFormat/>
    <w:rsid w:val="00184045"/>
    <w:rPr>
      <w:i/>
      <w:iCs/>
    </w:rPr>
  </w:style>
  <w:style w:type="character" w:customStyle="1" w:styleId="Heading1Char">
    <w:name w:val="Heading 1 Char"/>
    <w:basedOn w:val="DefaultParagraphFont"/>
    <w:link w:val="Heading1"/>
    <w:uiPriority w:val="9"/>
    <w:rsid w:val="003E0E21"/>
    <w:rPr>
      <w:rFonts w:asciiTheme="majorHAnsi" w:eastAsiaTheme="majorEastAsia" w:hAnsiTheme="majorHAnsi" w:cstheme="majorBidi"/>
      <w:color w:val="2E74B5" w:themeColor="accent1" w:themeShade="BF"/>
      <w:sz w:val="32"/>
      <w:szCs w:val="32"/>
    </w:rPr>
  </w:style>
  <w:style w:type="character" w:customStyle="1" w:styleId="num-ratings">
    <w:name w:val="num-ratings"/>
    <w:basedOn w:val="DefaultParagraphFont"/>
    <w:rsid w:val="003E0E21"/>
  </w:style>
  <w:style w:type="character" w:customStyle="1" w:styleId="count">
    <w:name w:val="count"/>
    <w:basedOn w:val="DefaultParagraphFont"/>
    <w:rsid w:val="003E0E21"/>
  </w:style>
  <w:style w:type="character" w:customStyle="1" w:styleId="addmd1">
    <w:name w:val="addmd1"/>
    <w:basedOn w:val="DefaultParagraphFont"/>
    <w:rsid w:val="003E0E21"/>
    <w:rPr>
      <w:sz w:val="20"/>
      <w:szCs w:val="20"/>
    </w:rPr>
  </w:style>
  <w:style w:type="character" w:customStyle="1" w:styleId="Subtitle1">
    <w:name w:val="Subtitle1"/>
    <w:basedOn w:val="DefaultParagraphFont"/>
    <w:rsid w:val="00D90977"/>
  </w:style>
  <w:style w:type="paragraph" w:customStyle="1" w:styleId="Default">
    <w:name w:val="Default"/>
    <w:rsid w:val="006D21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olor-secondary">
    <w:name w:val="a-color-secondary"/>
    <w:basedOn w:val="DefaultParagraphFont"/>
    <w:rsid w:val="009C5FCD"/>
  </w:style>
  <w:style w:type="character" w:customStyle="1" w:styleId="a-size-large1">
    <w:name w:val="a-size-large1"/>
    <w:basedOn w:val="DefaultParagraphFont"/>
    <w:rsid w:val="009C5FCD"/>
    <w:rPr>
      <w:rFonts w:ascii="Arial" w:hAnsi="Arial" w:cs="Arial" w:hint="default"/>
    </w:rPr>
  </w:style>
  <w:style w:type="character" w:customStyle="1" w:styleId="a-size-medium2">
    <w:name w:val="a-size-medium2"/>
    <w:basedOn w:val="DefaultParagraphFont"/>
    <w:rsid w:val="009C5FCD"/>
    <w:rPr>
      <w:rFonts w:ascii="Arial" w:hAnsi="Arial" w:cs="Arial" w:hint="default"/>
    </w:rPr>
  </w:style>
  <w:style w:type="character" w:customStyle="1" w:styleId="author">
    <w:name w:val="author"/>
    <w:basedOn w:val="DefaultParagraphFont"/>
    <w:rsid w:val="009C5FCD"/>
  </w:style>
  <w:style w:type="character" w:customStyle="1" w:styleId="contribution">
    <w:name w:val="contribution"/>
    <w:basedOn w:val="DefaultParagraphFont"/>
    <w:rsid w:val="009C5FCD"/>
  </w:style>
  <w:style w:type="paragraph" w:styleId="BalloonText">
    <w:name w:val="Balloon Text"/>
    <w:basedOn w:val="Normal"/>
    <w:link w:val="BalloonTextChar"/>
    <w:uiPriority w:val="99"/>
    <w:semiHidden/>
    <w:unhideWhenUsed/>
    <w:rsid w:val="00612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339"/>
    <w:rPr>
      <w:rFonts w:ascii="Segoe UI" w:hAnsi="Segoe UI" w:cs="Segoe UI"/>
      <w:sz w:val="18"/>
      <w:szCs w:val="18"/>
    </w:rPr>
  </w:style>
  <w:style w:type="paragraph" w:styleId="BodyText">
    <w:name w:val="Body Text"/>
    <w:basedOn w:val="Normal"/>
    <w:link w:val="BodyTextChar"/>
    <w:rsid w:val="00AD5846"/>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u w:val="single"/>
      <w:lang w:val="en-US"/>
    </w:rPr>
  </w:style>
  <w:style w:type="character" w:customStyle="1" w:styleId="BodyTextChar">
    <w:name w:val="Body Text Char"/>
    <w:basedOn w:val="DefaultParagraphFont"/>
    <w:link w:val="BodyText"/>
    <w:rsid w:val="00AD5846"/>
    <w:rPr>
      <w:rFonts w:ascii="Times New Roman" w:eastAsia="Times New Roman" w:hAnsi="Times New Roman" w:cs="Times New Roman"/>
      <w:sz w:val="24"/>
      <w:szCs w:val="20"/>
      <w:u w:val="single"/>
      <w:lang w:val="en-US"/>
    </w:rPr>
  </w:style>
  <w:style w:type="character" w:styleId="UnresolvedMention">
    <w:name w:val="Unresolved Mention"/>
    <w:basedOn w:val="DefaultParagraphFont"/>
    <w:uiPriority w:val="99"/>
    <w:semiHidden/>
    <w:unhideWhenUsed/>
    <w:rsid w:val="00AD5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39814">
      <w:bodyDiv w:val="1"/>
      <w:marLeft w:val="0"/>
      <w:marRight w:val="0"/>
      <w:marTop w:val="0"/>
      <w:marBottom w:val="0"/>
      <w:divBdr>
        <w:top w:val="none" w:sz="0" w:space="0" w:color="auto"/>
        <w:left w:val="none" w:sz="0" w:space="0" w:color="auto"/>
        <w:bottom w:val="none" w:sz="0" w:space="0" w:color="auto"/>
        <w:right w:val="none" w:sz="0" w:space="0" w:color="auto"/>
      </w:divBdr>
      <w:divsChild>
        <w:div w:id="454445892">
          <w:marLeft w:val="0"/>
          <w:marRight w:val="0"/>
          <w:marTop w:val="0"/>
          <w:marBottom w:val="0"/>
          <w:divBdr>
            <w:top w:val="none" w:sz="0" w:space="0" w:color="auto"/>
            <w:left w:val="none" w:sz="0" w:space="0" w:color="auto"/>
            <w:bottom w:val="none" w:sz="0" w:space="0" w:color="auto"/>
            <w:right w:val="none" w:sz="0" w:space="0" w:color="auto"/>
          </w:divBdr>
        </w:div>
      </w:divsChild>
    </w:div>
    <w:div w:id="399402776">
      <w:bodyDiv w:val="1"/>
      <w:marLeft w:val="0"/>
      <w:marRight w:val="0"/>
      <w:marTop w:val="0"/>
      <w:marBottom w:val="0"/>
      <w:divBdr>
        <w:top w:val="none" w:sz="0" w:space="0" w:color="auto"/>
        <w:left w:val="none" w:sz="0" w:space="0" w:color="auto"/>
        <w:bottom w:val="none" w:sz="0" w:space="0" w:color="auto"/>
        <w:right w:val="none" w:sz="0" w:space="0" w:color="auto"/>
      </w:divBdr>
      <w:divsChild>
        <w:div w:id="616446984">
          <w:marLeft w:val="0"/>
          <w:marRight w:val="0"/>
          <w:marTop w:val="0"/>
          <w:marBottom w:val="0"/>
          <w:divBdr>
            <w:top w:val="none" w:sz="0" w:space="0" w:color="auto"/>
            <w:left w:val="none" w:sz="0" w:space="0" w:color="auto"/>
            <w:bottom w:val="none" w:sz="0" w:space="0" w:color="auto"/>
            <w:right w:val="none" w:sz="0" w:space="0" w:color="auto"/>
          </w:divBdr>
          <w:divsChild>
            <w:div w:id="1968971495">
              <w:marLeft w:val="0"/>
              <w:marRight w:val="0"/>
              <w:marTop w:val="0"/>
              <w:marBottom w:val="0"/>
              <w:divBdr>
                <w:top w:val="none" w:sz="0" w:space="0" w:color="auto"/>
                <w:left w:val="none" w:sz="0" w:space="0" w:color="auto"/>
                <w:bottom w:val="none" w:sz="0" w:space="0" w:color="auto"/>
                <w:right w:val="none" w:sz="0" w:space="0" w:color="auto"/>
              </w:divBdr>
              <w:divsChild>
                <w:div w:id="1621565849">
                  <w:marLeft w:val="0"/>
                  <w:marRight w:val="0"/>
                  <w:marTop w:val="0"/>
                  <w:marBottom w:val="0"/>
                  <w:divBdr>
                    <w:top w:val="none" w:sz="0" w:space="0" w:color="auto"/>
                    <w:left w:val="none" w:sz="0" w:space="0" w:color="auto"/>
                    <w:bottom w:val="none" w:sz="0" w:space="0" w:color="auto"/>
                    <w:right w:val="none" w:sz="0" w:space="0" w:color="auto"/>
                  </w:divBdr>
                  <w:divsChild>
                    <w:div w:id="280956808">
                      <w:marLeft w:val="0"/>
                      <w:marRight w:val="0"/>
                      <w:marTop w:val="0"/>
                      <w:marBottom w:val="0"/>
                      <w:divBdr>
                        <w:top w:val="none" w:sz="0" w:space="0" w:color="auto"/>
                        <w:left w:val="none" w:sz="0" w:space="0" w:color="auto"/>
                        <w:bottom w:val="none" w:sz="0" w:space="0" w:color="auto"/>
                        <w:right w:val="none" w:sz="0" w:space="0" w:color="auto"/>
                      </w:divBdr>
                      <w:divsChild>
                        <w:div w:id="1715152002">
                          <w:marLeft w:val="0"/>
                          <w:marRight w:val="0"/>
                          <w:marTop w:val="0"/>
                          <w:marBottom w:val="0"/>
                          <w:divBdr>
                            <w:top w:val="none" w:sz="0" w:space="0" w:color="auto"/>
                            <w:left w:val="none" w:sz="0" w:space="0" w:color="auto"/>
                            <w:bottom w:val="none" w:sz="0" w:space="0" w:color="auto"/>
                            <w:right w:val="none" w:sz="0" w:space="0" w:color="auto"/>
                          </w:divBdr>
                          <w:divsChild>
                            <w:div w:id="404258387">
                              <w:marLeft w:val="0"/>
                              <w:marRight w:val="0"/>
                              <w:marTop w:val="0"/>
                              <w:marBottom w:val="0"/>
                              <w:divBdr>
                                <w:top w:val="none" w:sz="0" w:space="0" w:color="auto"/>
                                <w:left w:val="none" w:sz="0" w:space="0" w:color="auto"/>
                                <w:bottom w:val="none" w:sz="0" w:space="0" w:color="auto"/>
                                <w:right w:val="none" w:sz="0" w:space="0" w:color="auto"/>
                              </w:divBdr>
                              <w:divsChild>
                                <w:div w:id="465970389">
                                  <w:marLeft w:val="0"/>
                                  <w:marRight w:val="0"/>
                                  <w:marTop w:val="0"/>
                                  <w:marBottom w:val="0"/>
                                  <w:divBdr>
                                    <w:top w:val="none" w:sz="0" w:space="0" w:color="auto"/>
                                    <w:left w:val="none" w:sz="0" w:space="0" w:color="auto"/>
                                    <w:bottom w:val="none" w:sz="0" w:space="0" w:color="auto"/>
                                    <w:right w:val="none" w:sz="0" w:space="0" w:color="auto"/>
                                  </w:divBdr>
                                  <w:divsChild>
                                    <w:div w:id="889610952">
                                      <w:marLeft w:val="0"/>
                                      <w:marRight w:val="180"/>
                                      <w:marTop w:val="0"/>
                                      <w:marBottom w:val="0"/>
                                      <w:divBdr>
                                        <w:top w:val="none" w:sz="0" w:space="0" w:color="auto"/>
                                        <w:left w:val="none" w:sz="0" w:space="0" w:color="auto"/>
                                        <w:bottom w:val="none" w:sz="0" w:space="0" w:color="auto"/>
                                        <w:right w:val="none" w:sz="0" w:space="0" w:color="auto"/>
                                      </w:divBdr>
                                    </w:div>
                                    <w:div w:id="974523068">
                                      <w:marLeft w:val="0"/>
                                      <w:marRight w:val="0"/>
                                      <w:marTop w:val="0"/>
                                      <w:marBottom w:val="30"/>
                                      <w:divBdr>
                                        <w:top w:val="none" w:sz="0" w:space="0" w:color="auto"/>
                                        <w:left w:val="none" w:sz="0" w:space="0" w:color="auto"/>
                                        <w:bottom w:val="none" w:sz="0" w:space="0" w:color="auto"/>
                                        <w:right w:val="none" w:sz="0" w:space="0" w:color="auto"/>
                                      </w:divBdr>
                                      <w:divsChild>
                                        <w:div w:id="1237327428">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6434">
      <w:bodyDiv w:val="1"/>
      <w:marLeft w:val="0"/>
      <w:marRight w:val="0"/>
      <w:marTop w:val="0"/>
      <w:marBottom w:val="0"/>
      <w:divBdr>
        <w:top w:val="none" w:sz="0" w:space="0" w:color="auto"/>
        <w:left w:val="none" w:sz="0" w:space="0" w:color="auto"/>
        <w:bottom w:val="none" w:sz="0" w:space="0" w:color="auto"/>
        <w:right w:val="none" w:sz="0" w:space="0" w:color="auto"/>
      </w:divBdr>
      <w:divsChild>
        <w:div w:id="161316510">
          <w:marLeft w:val="0"/>
          <w:marRight w:val="0"/>
          <w:marTop w:val="0"/>
          <w:marBottom w:val="0"/>
          <w:divBdr>
            <w:top w:val="none" w:sz="0" w:space="0" w:color="auto"/>
            <w:left w:val="none" w:sz="0" w:space="0" w:color="auto"/>
            <w:bottom w:val="none" w:sz="0" w:space="0" w:color="auto"/>
            <w:right w:val="none" w:sz="0" w:space="0" w:color="auto"/>
          </w:divBdr>
          <w:divsChild>
            <w:div w:id="1550531562">
              <w:marLeft w:val="0"/>
              <w:marRight w:val="0"/>
              <w:marTop w:val="0"/>
              <w:marBottom w:val="0"/>
              <w:divBdr>
                <w:top w:val="none" w:sz="0" w:space="0" w:color="auto"/>
                <w:left w:val="none" w:sz="0" w:space="0" w:color="auto"/>
                <w:bottom w:val="none" w:sz="0" w:space="0" w:color="auto"/>
                <w:right w:val="none" w:sz="0" w:space="0" w:color="auto"/>
              </w:divBdr>
              <w:divsChild>
                <w:div w:id="989212251">
                  <w:marLeft w:val="0"/>
                  <w:marRight w:val="0"/>
                  <w:marTop w:val="0"/>
                  <w:marBottom w:val="0"/>
                  <w:divBdr>
                    <w:top w:val="none" w:sz="0" w:space="0" w:color="auto"/>
                    <w:left w:val="none" w:sz="0" w:space="0" w:color="auto"/>
                    <w:bottom w:val="none" w:sz="0" w:space="0" w:color="auto"/>
                    <w:right w:val="none" w:sz="0" w:space="0" w:color="auto"/>
                  </w:divBdr>
                  <w:divsChild>
                    <w:div w:id="48844387">
                      <w:marLeft w:val="0"/>
                      <w:marRight w:val="0"/>
                      <w:marTop w:val="630"/>
                      <w:marBottom w:val="0"/>
                      <w:divBdr>
                        <w:top w:val="none" w:sz="0" w:space="0" w:color="auto"/>
                        <w:left w:val="none" w:sz="0" w:space="0" w:color="auto"/>
                        <w:bottom w:val="none" w:sz="0" w:space="0" w:color="auto"/>
                        <w:right w:val="none" w:sz="0" w:space="0" w:color="auto"/>
                      </w:divBdr>
                      <w:divsChild>
                        <w:div w:id="1133644771">
                          <w:marLeft w:val="0"/>
                          <w:marRight w:val="0"/>
                          <w:marTop w:val="0"/>
                          <w:marBottom w:val="0"/>
                          <w:divBdr>
                            <w:top w:val="none" w:sz="0" w:space="0" w:color="auto"/>
                            <w:left w:val="none" w:sz="0" w:space="0" w:color="auto"/>
                            <w:bottom w:val="none" w:sz="0" w:space="0" w:color="auto"/>
                            <w:right w:val="none" w:sz="0" w:space="0" w:color="auto"/>
                          </w:divBdr>
                          <w:divsChild>
                            <w:div w:id="79638696">
                              <w:marLeft w:val="0"/>
                              <w:marRight w:val="150"/>
                              <w:marTop w:val="0"/>
                              <w:marBottom w:val="90"/>
                              <w:divBdr>
                                <w:top w:val="none" w:sz="0" w:space="0" w:color="auto"/>
                                <w:left w:val="none" w:sz="0" w:space="0" w:color="auto"/>
                                <w:bottom w:val="none" w:sz="0" w:space="0" w:color="auto"/>
                                <w:right w:val="none" w:sz="0" w:space="0" w:color="auto"/>
                              </w:divBdr>
                              <w:divsChild>
                                <w:div w:id="32139770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760479">
      <w:bodyDiv w:val="1"/>
      <w:marLeft w:val="0"/>
      <w:marRight w:val="0"/>
      <w:marTop w:val="0"/>
      <w:marBottom w:val="0"/>
      <w:divBdr>
        <w:top w:val="none" w:sz="0" w:space="0" w:color="auto"/>
        <w:left w:val="none" w:sz="0" w:space="0" w:color="auto"/>
        <w:bottom w:val="none" w:sz="0" w:space="0" w:color="auto"/>
        <w:right w:val="none" w:sz="0" w:space="0" w:color="auto"/>
      </w:divBdr>
    </w:div>
    <w:div w:id="760024866">
      <w:bodyDiv w:val="1"/>
      <w:marLeft w:val="0"/>
      <w:marRight w:val="0"/>
      <w:marTop w:val="0"/>
      <w:marBottom w:val="0"/>
      <w:divBdr>
        <w:top w:val="none" w:sz="0" w:space="0" w:color="auto"/>
        <w:left w:val="none" w:sz="0" w:space="0" w:color="auto"/>
        <w:bottom w:val="none" w:sz="0" w:space="0" w:color="auto"/>
        <w:right w:val="none" w:sz="0" w:space="0" w:color="auto"/>
      </w:divBdr>
      <w:divsChild>
        <w:div w:id="1650287200">
          <w:marLeft w:val="0"/>
          <w:marRight w:val="0"/>
          <w:marTop w:val="0"/>
          <w:marBottom w:val="0"/>
          <w:divBdr>
            <w:top w:val="none" w:sz="0" w:space="0" w:color="auto"/>
            <w:left w:val="none" w:sz="0" w:space="0" w:color="auto"/>
            <w:bottom w:val="none" w:sz="0" w:space="0" w:color="auto"/>
            <w:right w:val="none" w:sz="0" w:space="0" w:color="auto"/>
          </w:divBdr>
          <w:divsChild>
            <w:div w:id="1172839615">
              <w:marLeft w:val="0"/>
              <w:marRight w:val="0"/>
              <w:marTop w:val="0"/>
              <w:marBottom w:val="0"/>
              <w:divBdr>
                <w:top w:val="none" w:sz="0" w:space="0" w:color="auto"/>
                <w:left w:val="none" w:sz="0" w:space="0" w:color="auto"/>
                <w:bottom w:val="none" w:sz="0" w:space="0" w:color="auto"/>
                <w:right w:val="none" w:sz="0" w:space="0" w:color="auto"/>
              </w:divBdr>
              <w:divsChild>
                <w:div w:id="1731267633">
                  <w:marLeft w:val="0"/>
                  <w:marRight w:val="0"/>
                  <w:marTop w:val="0"/>
                  <w:marBottom w:val="0"/>
                  <w:divBdr>
                    <w:top w:val="none" w:sz="0" w:space="0" w:color="auto"/>
                    <w:left w:val="none" w:sz="0" w:space="0" w:color="auto"/>
                    <w:bottom w:val="none" w:sz="0" w:space="0" w:color="auto"/>
                    <w:right w:val="none" w:sz="0" w:space="0" w:color="auto"/>
                  </w:divBdr>
                  <w:divsChild>
                    <w:div w:id="1083843576">
                      <w:marLeft w:val="0"/>
                      <w:marRight w:val="0"/>
                      <w:marTop w:val="0"/>
                      <w:marBottom w:val="0"/>
                      <w:divBdr>
                        <w:top w:val="none" w:sz="0" w:space="0" w:color="auto"/>
                        <w:left w:val="none" w:sz="0" w:space="0" w:color="auto"/>
                        <w:bottom w:val="none" w:sz="0" w:space="0" w:color="auto"/>
                        <w:right w:val="none" w:sz="0" w:space="0" w:color="auto"/>
                      </w:divBdr>
                      <w:divsChild>
                        <w:div w:id="20131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947388">
      <w:bodyDiv w:val="1"/>
      <w:marLeft w:val="0"/>
      <w:marRight w:val="0"/>
      <w:marTop w:val="0"/>
      <w:marBottom w:val="0"/>
      <w:divBdr>
        <w:top w:val="none" w:sz="0" w:space="0" w:color="auto"/>
        <w:left w:val="none" w:sz="0" w:space="0" w:color="auto"/>
        <w:bottom w:val="none" w:sz="0" w:space="0" w:color="auto"/>
        <w:right w:val="none" w:sz="0" w:space="0" w:color="auto"/>
      </w:divBdr>
      <w:divsChild>
        <w:div w:id="836847756">
          <w:marLeft w:val="0"/>
          <w:marRight w:val="0"/>
          <w:marTop w:val="0"/>
          <w:marBottom w:val="0"/>
          <w:divBdr>
            <w:top w:val="none" w:sz="0" w:space="0" w:color="auto"/>
            <w:left w:val="none" w:sz="0" w:space="0" w:color="auto"/>
            <w:bottom w:val="none" w:sz="0" w:space="0" w:color="auto"/>
            <w:right w:val="none" w:sz="0" w:space="0" w:color="auto"/>
          </w:divBdr>
          <w:divsChild>
            <w:div w:id="1042945494">
              <w:marLeft w:val="0"/>
              <w:marRight w:val="0"/>
              <w:marTop w:val="0"/>
              <w:marBottom w:val="0"/>
              <w:divBdr>
                <w:top w:val="none" w:sz="0" w:space="0" w:color="auto"/>
                <w:left w:val="none" w:sz="0" w:space="0" w:color="auto"/>
                <w:bottom w:val="none" w:sz="0" w:space="0" w:color="auto"/>
                <w:right w:val="none" w:sz="0" w:space="0" w:color="auto"/>
              </w:divBdr>
              <w:divsChild>
                <w:div w:id="217865431">
                  <w:marLeft w:val="0"/>
                  <w:marRight w:val="0"/>
                  <w:marTop w:val="0"/>
                  <w:marBottom w:val="0"/>
                  <w:divBdr>
                    <w:top w:val="none" w:sz="0" w:space="0" w:color="auto"/>
                    <w:left w:val="none" w:sz="0" w:space="0" w:color="auto"/>
                    <w:bottom w:val="none" w:sz="0" w:space="0" w:color="auto"/>
                    <w:right w:val="none" w:sz="0" w:space="0" w:color="auto"/>
                  </w:divBdr>
                  <w:divsChild>
                    <w:div w:id="1145123300">
                      <w:marLeft w:val="0"/>
                      <w:marRight w:val="0"/>
                      <w:marTop w:val="630"/>
                      <w:marBottom w:val="0"/>
                      <w:divBdr>
                        <w:top w:val="single" w:sz="12" w:space="0" w:color="auto"/>
                        <w:left w:val="none" w:sz="0" w:space="0" w:color="auto"/>
                        <w:bottom w:val="none" w:sz="0" w:space="0" w:color="auto"/>
                        <w:right w:val="none" w:sz="0" w:space="0" w:color="auto"/>
                      </w:divBdr>
                      <w:divsChild>
                        <w:div w:id="229852106">
                          <w:marLeft w:val="0"/>
                          <w:marRight w:val="0"/>
                          <w:marTop w:val="0"/>
                          <w:marBottom w:val="0"/>
                          <w:divBdr>
                            <w:top w:val="none" w:sz="0" w:space="0" w:color="auto"/>
                            <w:left w:val="none" w:sz="0" w:space="0" w:color="auto"/>
                            <w:bottom w:val="none" w:sz="0" w:space="0" w:color="auto"/>
                            <w:right w:val="none" w:sz="0" w:space="0" w:color="auto"/>
                          </w:divBdr>
                          <w:divsChild>
                            <w:div w:id="17395817">
                              <w:marLeft w:val="0"/>
                              <w:marRight w:val="150"/>
                              <w:marTop w:val="0"/>
                              <w:marBottom w:val="90"/>
                              <w:divBdr>
                                <w:top w:val="none" w:sz="0" w:space="0" w:color="auto"/>
                                <w:left w:val="none" w:sz="0" w:space="0" w:color="auto"/>
                                <w:bottom w:val="none" w:sz="0" w:space="0" w:color="auto"/>
                                <w:right w:val="none" w:sz="0" w:space="0" w:color="auto"/>
                              </w:divBdr>
                              <w:divsChild>
                                <w:div w:id="85361843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062529">
      <w:bodyDiv w:val="1"/>
      <w:marLeft w:val="0"/>
      <w:marRight w:val="0"/>
      <w:marTop w:val="0"/>
      <w:marBottom w:val="0"/>
      <w:divBdr>
        <w:top w:val="none" w:sz="0" w:space="0" w:color="auto"/>
        <w:left w:val="none" w:sz="0" w:space="0" w:color="auto"/>
        <w:bottom w:val="none" w:sz="0" w:space="0" w:color="auto"/>
        <w:right w:val="none" w:sz="0" w:space="0" w:color="auto"/>
      </w:divBdr>
      <w:divsChild>
        <w:div w:id="194539569">
          <w:marLeft w:val="0"/>
          <w:marRight w:val="0"/>
          <w:marTop w:val="0"/>
          <w:marBottom w:val="0"/>
          <w:divBdr>
            <w:top w:val="none" w:sz="0" w:space="0" w:color="auto"/>
            <w:left w:val="none" w:sz="0" w:space="0" w:color="auto"/>
            <w:bottom w:val="none" w:sz="0" w:space="0" w:color="auto"/>
            <w:right w:val="none" w:sz="0" w:space="0" w:color="auto"/>
          </w:divBdr>
          <w:divsChild>
            <w:div w:id="955257113">
              <w:marLeft w:val="0"/>
              <w:marRight w:val="0"/>
              <w:marTop w:val="0"/>
              <w:marBottom w:val="0"/>
              <w:divBdr>
                <w:top w:val="none" w:sz="0" w:space="0" w:color="auto"/>
                <w:left w:val="none" w:sz="0" w:space="0" w:color="auto"/>
                <w:bottom w:val="none" w:sz="0" w:space="0" w:color="auto"/>
                <w:right w:val="none" w:sz="0" w:space="0" w:color="auto"/>
              </w:divBdr>
              <w:divsChild>
                <w:div w:id="1371996175">
                  <w:marLeft w:val="0"/>
                  <w:marRight w:val="0"/>
                  <w:marTop w:val="0"/>
                  <w:marBottom w:val="0"/>
                  <w:divBdr>
                    <w:top w:val="none" w:sz="0" w:space="0" w:color="auto"/>
                    <w:left w:val="none" w:sz="0" w:space="0" w:color="auto"/>
                    <w:bottom w:val="none" w:sz="0" w:space="0" w:color="auto"/>
                    <w:right w:val="none" w:sz="0" w:space="0" w:color="auto"/>
                  </w:divBdr>
                  <w:divsChild>
                    <w:div w:id="1134324008">
                      <w:marLeft w:val="0"/>
                      <w:marRight w:val="0"/>
                      <w:marTop w:val="630"/>
                      <w:marBottom w:val="0"/>
                      <w:divBdr>
                        <w:top w:val="single" w:sz="12" w:space="0" w:color="auto"/>
                        <w:left w:val="none" w:sz="0" w:space="0" w:color="auto"/>
                        <w:bottom w:val="none" w:sz="0" w:space="0" w:color="auto"/>
                        <w:right w:val="none" w:sz="0" w:space="0" w:color="auto"/>
                      </w:divBdr>
                      <w:divsChild>
                        <w:div w:id="2086409910">
                          <w:marLeft w:val="0"/>
                          <w:marRight w:val="0"/>
                          <w:marTop w:val="0"/>
                          <w:marBottom w:val="0"/>
                          <w:divBdr>
                            <w:top w:val="none" w:sz="0" w:space="0" w:color="auto"/>
                            <w:left w:val="none" w:sz="0" w:space="0" w:color="auto"/>
                            <w:bottom w:val="none" w:sz="0" w:space="0" w:color="auto"/>
                            <w:right w:val="none" w:sz="0" w:space="0" w:color="auto"/>
                          </w:divBdr>
                          <w:divsChild>
                            <w:div w:id="762340839">
                              <w:marLeft w:val="0"/>
                              <w:marRight w:val="150"/>
                              <w:marTop w:val="0"/>
                              <w:marBottom w:val="90"/>
                              <w:divBdr>
                                <w:top w:val="none" w:sz="0" w:space="0" w:color="auto"/>
                                <w:left w:val="none" w:sz="0" w:space="0" w:color="auto"/>
                                <w:bottom w:val="none" w:sz="0" w:space="0" w:color="auto"/>
                                <w:right w:val="none" w:sz="0" w:space="0" w:color="auto"/>
                              </w:divBdr>
                              <w:divsChild>
                                <w:div w:id="1903521746">
                                  <w:marLeft w:val="0"/>
                                  <w:marRight w:val="0"/>
                                  <w:marTop w:val="0"/>
                                  <w:marBottom w:val="60"/>
                                  <w:divBdr>
                                    <w:top w:val="none" w:sz="0" w:space="0" w:color="auto"/>
                                    <w:left w:val="none" w:sz="0" w:space="0" w:color="auto"/>
                                    <w:bottom w:val="none" w:sz="0" w:space="0" w:color="auto"/>
                                    <w:right w:val="none" w:sz="0" w:space="0" w:color="auto"/>
                                  </w:divBdr>
                                  <w:divsChild>
                                    <w:div w:id="1556090504">
                                      <w:marLeft w:val="0"/>
                                      <w:marRight w:val="0"/>
                                      <w:marTop w:val="75"/>
                                      <w:marBottom w:val="0"/>
                                      <w:divBdr>
                                        <w:top w:val="none" w:sz="0" w:space="0" w:color="auto"/>
                                        <w:left w:val="none" w:sz="0" w:space="0" w:color="auto"/>
                                        <w:bottom w:val="none" w:sz="0" w:space="0" w:color="auto"/>
                                        <w:right w:val="none" w:sz="0" w:space="0" w:color="auto"/>
                                      </w:divBdr>
                                      <w:divsChild>
                                        <w:div w:id="1133477170">
                                          <w:marLeft w:val="0"/>
                                          <w:marRight w:val="120"/>
                                          <w:marTop w:val="0"/>
                                          <w:marBottom w:val="0"/>
                                          <w:divBdr>
                                            <w:top w:val="none" w:sz="0" w:space="0" w:color="auto"/>
                                            <w:left w:val="none" w:sz="0" w:space="0" w:color="auto"/>
                                            <w:bottom w:val="none" w:sz="0" w:space="0" w:color="auto"/>
                                            <w:right w:val="none" w:sz="0" w:space="0" w:color="auto"/>
                                          </w:divBdr>
                                        </w:div>
                                        <w:div w:id="2774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271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416109">
      <w:bodyDiv w:val="1"/>
      <w:marLeft w:val="0"/>
      <w:marRight w:val="0"/>
      <w:marTop w:val="0"/>
      <w:marBottom w:val="0"/>
      <w:divBdr>
        <w:top w:val="none" w:sz="0" w:space="0" w:color="auto"/>
        <w:left w:val="none" w:sz="0" w:space="0" w:color="auto"/>
        <w:bottom w:val="none" w:sz="0" w:space="0" w:color="auto"/>
        <w:right w:val="none" w:sz="0" w:space="0" w:color="auto"/>
      </w:divBdr>
      <w:divsChild>
        <w:div w:id="1005664995">
          <w:marLeft w:val="0"/>
          <w:marRight w:val="0"/>
          <w:marTop w:val="0"/>
          <w:marBottom w:val="0"/>
          <w:divBdr>
            <w:top w:val="none" w:sz="0" w:space="0" w:color="auto"/>
            <w:left w:val="none" w:sz="0" w:space="0" w:color="auto"/>
            <w:bottom w:val="none" w:sz="0" w:space="0" w:color="auto"/>
            <w:right w:val="none" w:sz="0" w:space="0" w:color="auto"/>
          </w:divBdr>
          <w:divsChild>
            <w:div w:id="1473669322">
              <w:marLeft w:val="0"/>
              <w:marRight w:val="0"/>
              <w:marTop w:val="0"/>
              <w:marBottom w:val="0"/>
              <w:divBdr>
                <w:top w:val="none" w:sz="0" w:space="0" w:color="auto"/>
                <w:left w:val="none" w:sz="0" w:space="0" w:color="auto"/>
                <w:bottom w:val="none" w:sz="0" w:space="0" w:color="auto"/>
                <w:right w:val="none" w:sz="0" w:space="0" w:color="auto"/>
              </w:divBdr>
              <w:divsChild>
                <w:div w:id="523402244">
                  <w:marLeft w:val="0"/>
                  <w:marRight w:val="0"/>
                  <w:marTop w:val="0"/>
                  <w:marBottom w:val="0"/>
                  <w:divBdr>
                    <w:top w:val="none" w:sz="0" w:space="0" w:color="auto"/>
                    <w:left w:val="none" w:sz="0" w:space="0" w:color="auto"/>
                    <w:bottom w:val="none" w:sz="0" w:space="0" w:color="auto"/>
                    <w:right w:val="none" w:sz="0" w:space="0" w:color="auto"/>
                  </w:divBdr>
                  <w:divsChild>
                    <w:div w:id="1530945890">
                      <w:marLeft w:val="0"/>
                      <w:marRight w:val="0"/>
                      <w:marTop w:val="0"/>
                      <w:marBottom w:val="0"/>
                      <w:divBdr>
                        <w:top w:val="none" w:sz="0" w:space="0" w:color="auto"/>
                        <w:left w:val="none" w:sz="0" w:space="0" w:color="auto"/>
                        <w:bottom w:val="none" w:sz="0" w:space="0" w:color="auto"/>
                        <w:right w:val="none" w:sz="0" w:space="0" w:color="auto"/>
                      </w:divBdr>
                      <w:divsChild>
                        <w:div w:id="723524582">
                          <w:marLeft w:val="0"/>
                          <w:marRight w:val="0"/>
                          <w:marTop w:val="0"/>
                          <w:marBottom w:val="0"/>
                          <w:divBdr>
                            <w:top w:val="none" w:sz="0" w:space="0" w:color="auto"/>
                            <w:left w:val="none" w:sz="0" w:space="0" w:color="auto"/>
                            <w:bottom w:val="none" w:sz="0" w:space="0" w:color="auto"/>
                            <w:right w:val="none" w:sz="0" w:space="0" w:color="auto"/>
                          </w:divBdr>
                          <w:divsChild>
                            <w:div w:id="629627057">
                              <w:marLeft w:val="0"/>
                              <w:marRight w:val="0"/>
                              <w:marTop w:val="0"/>
                              <w:marBottom w:val="0"/>
                              <w:divBdr>
                                <w:top w:val="none" w:sz="0" w:space="0" w:color="auto"/>
                                <w:left w:val="none" w:sz="0" w:space="0" w:color="auto"/>
                                <w:bottom w:val="none" w:sz="0" w:space="0" w:color="auto"/>
                                <w:right w:val="none" w:sz="0" w:space="0" w:color="auto"/>
                              </w:divBdr>
                              <w:divsChild>
                                <w:div w:id="1895041456">
                                  <w:marLeft w:val="0"/>
                                  <w:marRight w:val="0"/>
                                  <w:marTop w:val="0"/>
                                  <w:marBottom w:val="0"/>
                                  <w:divBdr>
                                    <w:top w:val="none" w:sz="0" w:space="0" w:color="auto"/>
                                    <w:left w:val="none" w:sz="0" w:space="0" w:color="auto"/>
                                    <w:bottom w:val="none" w:sz="0" w:space="0" w:color="auto"/>
                                    <w:right w:val="none" w:sz="0" w:space="0" w:color="auto"/>
                                  </w:divBdr>
                                  <w:divsChild>
                                    <w:div w:id="255098565">
                                      <w:marLeft w:val="0"/>
                                      <w:marRight w:val="0"/>
                                      <w:marTop w:val="0"/>
                                      <w:marBottom w:val="0"/>
                                      <w:divBdr>
                                        <w:top w:val="none" w:sz="0" w:space="0" w:color="auto"/>
                                        <w:left w:val="none" w:sz="0" w:space="0" w:color="auto"/>
                                        <w:bottom w:val="none" w:sz="0" w:space="0" w:color="auto"/>
                                        <w:right w:val="none" w:sz="0" w:space="0" w:color="auto"/>
                                      </w:divBdr>
                                      <w:divsChild>
                                        <w:div w:id="587006403">
                                          <w:marLeft w:val="0"/>
                                          <w:marRight w:val="0"/>
                                          <w:marTop w:val="0"/>
                                          <w:marBottom w:val="0"/>
                                          <w:divBdr>
                                            <w:top w:val="none" w:sz="0" w:space="0" w:color="auto"/>
                                            <w:left w:val="none" w:sz="0" w:space="0" w:color="auto"/>
                                            <w:bottom w:val="none" w:sz="0" w:space="0" w:color="auto"/>
                                            <w:right w:val="none" w:sz="0" w:space="0" w:color="auto"/>
                                          </w:divBdr>
                                          <w:divsChild>
                                            <w:div w:id="631637790">
                                              <w:marLeft w:val="0"/>
                                              <w:marRight w:val="0"/>
                                              <w:marTop w:val="0"/>
                                              <w:marBottom w:val="0"/>
                                              <w:divBdr>
                                                <w:top w:val="none" w:sz="0" w:space="0" w:color="auto"/>
                                                <w:left w:val="none" w:sz="0" w:space="0" w:color="auto"/>
                                                <w:bottom w:val="none" w:sz="0" w:space="0" w:color="auto"/>
                                                <w:right w:val="none" w:sz="0" w:space="0" w:color="auto"/>
                                              </w:divBdr>
                                              <w:divsChild>
                                                <w:div w:id="213809708">
                                                  <w:marLeft w:val="0"/>
                                                  <w:marRight w:val="0"/>
                                                  <w:marTop w:val="0"/>
                                                  <w:marBottom w:val="0"/>
                                                  <w:divBdr>
                                                    <w:top w:val="none" w:sz="0" w:space="0" w:color="auto"/>
                                                    <w:left w:val="none" w:sz="0" w:space="0" w:color="auto"/>
                                                    <w:bottom w:val="none" w:sz="0" w:space="0" w:color="auto"/>
                                                    <w:right w:val="none" w:sz="0" w:space="0" w:color="auto"/>
                                                  </w:divBdr>
                                                  <w:divsChild>
                                                    <w:div w:id="5636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4430435">
      <w:bodyDiv w:val="1"/>
      <w:marLeft w:val="0"/>
      <w:marRight w:val="0"/>
      <w:marTop w:val="0"/>
      <w:marBottom w:val="0"/>
      <w:divBdr>
        <w:top w:val="none" w:sz="0" w:space="0" w:color="auto"/>
        <w:left w:val="none" w:sz="0" w:space="0" w:color="auto"/>
        <w:bottom w:val="none" w:sz="0" w:space="0" w:color="auto"/>
        <w:right w:val="none" w:sz="0" w:space="0" w:color="auto"/>
      </w:divBdr>
      <w:divsChild>
        <w:div w:id="2042199657">
          <w:marLeft w:val="0"/>
          <w:marRight w:val="0"/>
          <w:marTop w:val="0"/>
          <w:marBottom w:val="0"/>
          <w:divBdr>
            <w:top w:val="none" w:sz="0" w:space="0" w:color="auto"/>
            <w:left w:val="none" w:sz="0" w:space="0" w:color="auto"/>
            <w:bottom w:val="none" w:sz="0" w:space="0" w:color="auto"/>
            <w:right w:val="none" w:sz="0" w:space="0" w:color="auto"/>
          </w:divBdr>
          <w:divsChild>
            <w:div w:id="1301034321">
              <w:marLeft w:val="0"/>
              <w:marRight w:val="0"/>
              <w:marTop w:val="0"/>
              <w:marBottom w:val="0"/>
              <w:divBdr>
                <w:top w:val="none" w:sz="0" w:space="0" w:color="auto"/>
                <w:left w:val="none" w:sz="0" w:space="0" w:color="auto"/>
                <w:bottom w:val="none" w:sz="0" w:space="0" w:color="auto"/>
                <w:right w:val="none" w:sz="0" w:space="0" w:color="auto"/>
              </w:divBdr>
              <w:divsChild>
                <w:div w:id="735589455">
                  <w:marLeft w:val="0"/>
                  <w:marRight w:val="0"/>
                  <w:marTop w:val="0"/>
                  <w:marBottom w:val="0"/>
                  <w:divBdr>
                    <w:top w:val="none" w:sz="0" w:space="0" w:color="auto"/>
                    <w:left w:val="none" w:sz="0" w:space="0" w:color="auto"/>
                    <w:bottom w:val="none" w:sz="0" w:space="0" w:color="auto"/>
                    <w:right w:val="none" w:sz="0" w:space="0" w:color="auto"/>
                  </w:divBdr>
                  <w:divsChild>
                    <w:div w:id="162361390">
                      <w:marLeft w:val="0"/>
                      <w:marRight w:val="0"/>
                      <w:marTop w:val="0"/>
                      <w:marBottom w:val="0"/>
                      <w:divBdr>
                        <w:top w:val="none" w:sz="0" w:space="0" w:color="auto"/>
                        <w:left w:val="none" w:sz="0" w:space="0" w:color="auto"/>
                        <w:bottom w:val="none" w:sz="0" w:space="0" w:color="auto"/>
                        <w:right w:val="none" w:sz="0" w:space="0" w:color="auto"/>
                      </w:divBdr>
                      <w:divsChild>
                        <w:div w:id="206719031">
                          <w:marLeft w:val="0"/>
                          <w:marRight w:val="0"/>
                          <w:marTop w:val="0"/>
                          <w:marBottom w:val="0"/>
                          <w:divBdr>
                            <w:top w:val="none" w:sz="0" w:space="0" w:color="auto"/>
                            <w:left w:val="none" w:sz="0" w:space="0" w:color="auto"/>
                            <w:bottom w:val="none" w:sz="0" w:space="0" w:color="auto"/>
                            <w:right w:val="none" w:sz="0" w:space="0" w:color="auto"/>
                          </w:divBdr>
                          <w:divsChild>
                            <w:div w:id="12486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479124">
      <w:bodyDiv w:val="1"/>
      <w:marLeft w:val="0"/>
      <w:marRight w:val="0"/>
      <w:marTop w:val="0"/>
      <w:marBottom w:val="0"/>
      <w:divBdr>
        <w:top w:val="none" w:sz="0" w:space="0" w:color="auto"/>
        <w:left w:val="none" w:sz="0" w:space="0" w:color="auto"/>
        <w:bottom w:val="none" w:sz="0" w:space="0" w:color="auto"/>
        <w:right w:val="none" w:sz="0" w:space="0" w:color="auto"/>
      </w:divBdr>
      <w:divsChild>
        <w:div w:id="1596943115">
          <w:marLeft w:val="0"/>
          <w:marRight w:val="0"/>
          <w:marTop w:val="0"/>
          <w:marBottom w:val="0"/>
          <w:divBdr>
            <w:top w:val="none" w:sz="0" w:space="0" w:color="auto"/>
            <w:left w:val="none" w:sz="0" w:space="0" w:color="auto"/>
            <w:bottom w:val="none" w:sz="0" w:space="0" w:color="auto"/>
            <w:right w:val="none" w:sz="0" w:space="0" w:color="auto"/>
          </w:divBdr>
          <w:divsChild>
            <w:div w:id="971251103">
              <w:marLeft w:val="0"/>
              <w:marRight w:val="0"/>
              <w:marTop w:val="300"/>
              <w:marBottom w:val="0"/>
              <w:divBdr>
                <w:top w:val="none" w:sz="0" w:space="0" w:color="auto"/>
                <w:left w:val="none" w:sz="0" w:space="0" w:color="auto"/>
                <w:bottom w:val="none" w:sz="0" w:space="0" w:color="auto"/>
                <w:right w:val="none" w:sz="0" w:space="0" w:color="auto"/>
              </w:divBdr>
              <w:divsChild>
                <w:div w:id="743338193">
                  <w:marLeft w:val="4650"/>
                  <w:marRight w:val="4800"/>
                  <w:marTop w:val="0"/>
                  <w:marBottom w:val="0"/>
                  <w:divBdr>
                    <w:top w:val="none" w:sz="0" w:space="0" w:color="auto"/>
                    <w:left w:val="none" w:sz="0" w:space="0" w:color="auto"/>
                    <w:bottom w:val="none" w:sz="0" w:space="0" w:color="auto"/>
                    <w:right w:val="none" w:sz="0" w:space="0" w:color="auto"/>
                  </w:divBdr>
                  <w:divsChild>
                    <w:div w:id="203949745">
                      <w:marLeft w:val="0"/>
                      <w:marRight w:val="0"/>
                      <w:marTop w:val="0"/>
                      <w:marBottom w:val="0"/>
                      <w:divBdr>
                        <w:top w:val="none" w:sz="0" w:space="0" w:color="auto"/>
                        <w:left w:val="none" w:sz="0" w:space="0" w:color="auto"/>
                        <w:bottom w:val="none" w:sz="0" w:space="0" w:color="auto"/>
                        <w:right w:val="none" w:sz="0" w:space="0" w:color="auto"/>
                      </w:divBdr>
                      <w:divsChild>
                        <w:div w:id="241447968">
                          <w:marLeft w:val="0"/>
                          <w:marRight w:val="0"/>
                          <w:marTop w:val="0"/>
                          <w:marBottom w:val="330"/>
                          <w:divBdr>
                            <w:top w:val="none" w:sz="0" w:space="0" w:color="auto"/>
                            <w:left w:val="none" w:sz="0" w:space="0" w:color="auto"/>
                            <w:bottom w:val="none" w:sz="0" w:space="0" w:color="auto"/>
                            <w:right w:val="none" w:sz="0" w:space="0" w:color="auto"/>
                          </w:divBdr>
                        </w:div>
                        <w:div w:id="101977270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091924735">
      <w:bodyDiv w:val="1"/>
      <w:marLeft w:val="0"/>
      <w:marRight w:val="0"/>
      <w:marTop w:val="0"/>
      <w:marBottom w:val="0"/>
      <w:divBdr>
        <w:top w:val="none" w:sz="0" w:space="0" w:color="auto"/>
        <w:left w:val="none" w:sz="0" w:space="0" w:color="auto"/>
        <w:bottom w:val="none" w:sz="0" w:space="0" w:color="auto"/>
        <w:right w:val="none" w:sz="0" w:space="0" w:color="auto"/>
      </w:divBdr>
      <w:divsChild>
        <w:div w:id="1788886746">
          <w:marLeft w:val="0"/>
          <w:marRight w:val="0"/>
          <w:marTop w:val="0"/>
          <w:marBottom w:val="0"/>
          <w:divBdr>
            <w:top w:val="none" w:sz="0" w:space="0" w:color="auto"/>
            <w:left w:val="none" w:sz="0" w:space="0" w:color="auto"/>
            <w:bottom w:val="none" w:sz="0" w:space="0" w:color="auto"/>
            <w:right w:val="none" w:sz="0" w:space="0" w:color="auto"/>
          </w:divBdr>
          <w:divsChild>
            <w:div w:id="910231395">
              <w:marLeft w:val="0"/>
              <w:marRight w:val="0"/>
              <w:marTop w:val="0"/>
              <w:marBottom w:val="0"/>
              <w:divBdr>
                <w:top w:val="none" w:sz="0" w:space="0" w:color="auto"/>
                <w:left w:val="none" w:sz="0" w:space="0" w:color="auto"/>
                <w:bottom w:val="none" w:sz="0" w:space="0" w:color="auto"/>
                <w:right w:val="none" w:sz="0" w:space="0" w:color="auto"/>
              </w:divBdr>
              <w:divsChild>
                <w:div w:id="19340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0916">
      <w:bodyDiv w:val="1"/>
      <w:marLeft w:val="0"/>
      <w:marRight w:val="0"/>
      <w:marTop w:val="0"/>
      <w:marBottom w:val="0"/>
      <w:divBdr>
        <w:top w:val="none" w:sz="0" w:space="0" w:color="auto"/>
        <w:left w:val="none" w:sz="0" w:space="0" w:color="auto"/>
        <w:bottom w:val="none" w:sz="0" w:space="0" w:color="auto"/>
        <w:right w:val="none" w:sz="0" w:space="0" w:color="auto"/>
      </w:divBdr>
      <w:divsChild>
        <w:div w:id="156045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433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40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67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4502013">
      <w:bodyDiv w:val="1"/>
      <w:marLeft w:val="0"/>
      <w:marRight w:val="0"/>
      <w:marTop w:val="0"/>
      <w:marBottom w:val="0"/>
      <w:divBdr>
        <w:top w:val="none" w:sz="0" w:space="0" w:color="auto"/>
        <w:left w:val="none" w:sz="0" w:space="0" w:color="auto"/>
        <w:bottom w:val="none" w:sz="0" w:space="0" w:color="auto"/>
        <w:right w:val="none" w:sz="0" w:space="0" w:color="auto"/>
      </w:divBdr>
      <w:divsChild>
        <w:div w:id="1767916832">
          <w:marLeft w:val="0"/>
          <w:marRight w:val="0"/>
          <w:marTop w:val="0"/>
          <w:marBottom w:val="0"/>
          <w:divBdr>
            <w:top w:val="none" w:sz="0" w:space="0" w:color="auto"/>
            <w:left w:val="none" w:sz="0" w:space="0" w:color="auto"/>
            <w:bottom w:val="none" w:sz="0" w:space="0" w:color="auto"/>
            <w:right w:val="none" w:sz="0" w:space="0" w:color="auto"/>
          </w:divBdr>
          <w:divsChild>
            <w:div w:id="1676957671">
              <w:marLeft w:val="0"/>
              <w:marRight w:val="0"/>
              <w:marTop w:val="0"/>
              <w:marBottom w:val="0"/>
              <w:divBdr>
                <w:top w:val="none" w:sz="0" w:space="0" w:color="auto"/>
                <w:left w:val="none" w:sz="0" w:space="0" w:color="auto"/>
                <w:bottom w:val="none" w:sz="0" w:space="0" w:color="auto"/>
                <w:right w:val="none" w:sz="0" w:space="0" w:color="auto"/>
              </w:divBdr>
              <w:divsChild>
                <w:div w:id="15139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01496">
      <w:bodyDiv w:val="1"/>
      <w:marLeft w:val="0"/>
      <w:marRight w:val="0"/>
      <w:marTop w:val="0"/>
      <w:marBottom w:val="0"/>
      <w:divBdr>
        <w:top w:val="none" w:sz="0" w:space="0" w:color="auto"/>
        <w:left w:val="none" w:sz="0" w:space="0" w:color="auto"/>
        <w:bottom w:val="none" w:sz="0" w:space="0" w:color="auto"/>
        <w:right w:val="none" w:sz="0" w:space="0" w:color="auto"/>
      </w:divBdr>
      <w:divsChild>
        <w:div w:id="1798142254">
          <w:marLeft w:val="0"/>
          <w:marRight w:val="0"/>
          <w:marTop w:val="0"/>
          <w:marBottom w:val="0"/>
          <w:divBdr>
            <w:top w:val="none" w:sz="0" w:space="0" w:color="auto"/>
            <w:left w:val="none" w:sz="0" w:space="0" w:color="auto"/>
            <w:bottom w:val="none" w:sz="0" w:space="0" w:color="auto"/>
            <w:right w:val="none" w:sz="0" w:space="0" w:color="auto"/>
          </w:divBdr>
          <w:divsChild>
            <w:div w:id="1799837638">
              <w:marLeft w:val="0"/>
              <w:marRight w:val="0"/>
              <w:marTop w:val="0"/>
              <w:marBottom w:val="0"/>
              <w:divBdr>
                <w:top w:val="none" w:sz="0" w:space="0" w:color="auto"/>
                <w:left w:val="none" w:sz="0" w:space="0" w:color="auto"/>
                <w:bottom w:val="none" w:sz="0" w:space="0" w:color="auto"/>
                <w:right w:val="none" w:sz="0" w:space="0" w:color="auto"/>
              </w:divBdr>
              <w:divsChild>
                <w:div w:id="1494754960">
                  <w:marLeft w:val="0"/>
                  <w:marRight w:val="0"/>
                  <w:marTop w:val="0"/>
                  <w:marBottom w:val="0"/>
                  <w:divBdr>
                    <w:top w:val="none" w:sz="0" w:space="0" w:color="auto"/>
                    <w:left w:val="none" w:sz="0" w:space="0" w:color="auto"/>
                    <w:bottom w:val="none" w:sz="0" w:space="0" w:color="auto"/>
                    <w:right w:val="none" w:sz="0" w:space="0" w:color="auto"/>
                  </w:divBdr>
                  <w:divsChild>
                    <w:div w:id="1183520115">
                      <w:marLeft w:val="0"/>
                      <w:marRight w:val="0"/>
                      <w:marTop w:val="0"/>
                      <w:marBottom w:val="0"/>
                      <w:divBdr>
                        <w:top w:val="none" w:sz="0" w:space="0" w:color="auto"/>
                        <w:left w:val="none" w:sz="0" w:space="0" w:color="auto"/>
                        <w:bottom w:val="none" w:sz="0" w:space="0" w:color="auto"/>
                        <w:right w:val="none" w:sz="0" w:space="0" w:color="auto"/>
                      </w:divBdr>
                      <w:divsChild>
                        <w:div w:id="1240797557">
                          <w:marLeft w:val="0"/>
                          <w:marRight w:val="0"/>
                          <w:marTop w:val="0"/>
                          <w:marBottom w:val="0"/>
                          <w:divBdr>
                            <w:top w:val="none" w:sz="0" w:space="0" w:color="auto"/>
                            <w:left w:val="none" w:sz="0" w:space="0" w:color="auto"/>
                            <w:bottom w:val="none" w:sz="0" w:space="0" w:color="auto"/>
                            <w:right w:val="none" w:sz="0" w:space="0" w:color="auto"/>
                          </w:divBdr>
                          <w:divsChild>
                            <w:div w:id="357976228">
                              <w:marLeft w:val="0"/>
                              <w:marRight w:val="0"/>
                              <w:marTop w:val="0"/>
                              <w:marBottom w:val="0"/>
                              <w:divBdr>
                                <w:top w:val="none" w:sz="0" w:space="0" w:color="auto"/>
                                <w:left w:val="none" w:sz="0" w:space="0" w:color="auto"/>
                                <w:bottom w:val="none" w:sz="0" w:space="0" w:color="auto"/>
                                <w:right w:val="none" w:sz="0" w:space="0" w:color="auto"/>
                              </w:divBdr>
                              <w:divsChild>
                                <w:div w:id="1398699480">
                                  <w:marLeft w:val="0"/>
                                  <w:marRight w:val="0"/>
                                  <w:marTop w:val="0"/>
                                  <w:marBottom w:val="0"/>
                                  <w:divBdr>
                                    <w:top w:val="none" w:sz="0" w:space="0" w:color="auto"/>
                                    <w:left w:val="none" w:sz="0" w:space="0" w:color="auto"/>
                                    <w:bottom w:val="none" w:sz="0" w:space="0" w:color="auto"/>
                                    <w:right w:val="none" w:sz="0" w:space="0" w:color="auto"/>
                                  </w:divBdr>
                                  <w:divsChild>
                                    <w:div w:id="2038894997">
                                      <w:marLeft w:val="0"/>
                                      <w:marRight w:val="180"/>
                                      <w:marTop w:val="0"/>
                                      <w:marBottom w:val="0"/>
                                      <w:divBdr>
                                        <w:top w:val="none" w:sz="0" w:space="0" w:color="auto"/>
                                        <w:left w:val="none" w:sz="0" w:space="0" w:color="auto"/>
                                        <w:bottom w:val="none" w:sz="0" w:space="0" w:color="auto"/>
                                        <w:right w:val="none" w:sz="0" w:space="0" w:color="auto"/>
                                      </w:divBdr>
                                    </w:div>
                                    <w:div w:id="1944990830">
                                      <w:marLeft w:val="0"/>
                                      <w:marRight w:val="0"/>
                                      <w:marTop w:val="0"/>
                                      <w:marBottom w:val="30"/>
                                      <w:divBdr>
                                        <w:top w:val="none" w:sz="0" w:space="0" w:color="auto"/>
                                        <w:left w:val="none" w:sz="0" w:space="0" w:color="auto"/>
                                        <w:bottom w:val="none" w:sz="0" w:space="0" w:color="auto"/>
                                        <w:right w:val="none" w:sz="0" w:space="0" w:color="auto"/>
                                      </w:divBdr>
                                      <w:divsChild>
                                        <w:div w:id="5500735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book/10.1057/978113756235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algrave.com/gp/rights-permissions" TargetMode="External"/><Relationship Id="rId4" Type="http://schemas.openxmlformats.org/officeDocument/2006/relationships/settings" Target="settings.xml"/><Relationship Id="rId9" Type="http://schemas.openxmlformats.org/officeDocument/2006/relationships/hyperlink" Target="https://doi.org/10.1057/9781137562357"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magnacarta800th.com/schools/biographies/women-of-magna-carta/isabella-of-gloucester/" TargetMode="External"/><Relationship Id="rId3" Type="http://schemas.openxmlformats.org/officeDocument/2006/relationships/hyperlink" Target="http://www.newadvent.org/cathen/05392a.htm" TargetMode="External"/><Relationship Id="rId7" Type="http://schemas.openxmlformats.org/officeDocument/2006/relationships/hyperlink" Target="http://magnacarta800th.com/schools/biographies/women-of-magna-carta/joan/" TargetMode="External"/><Relationship Id="rId2" Type="http://schemas.openxmlformats.org/officeDocument/2006/relationships/hyperlink" Target="http://www.newadvent.org/cathen/07351a.htm" TargetMode="External"/><Relationship Id="rId1" Type="http://schemas.openxmlformats.org/officeDocument/2006/relationships/hyperlink" Target="http://magnacarta800th.com/schools/biographies/women-of-magna-carta/lady-nicholaa-de-la-haye/" TargetMode="External"/><Relationship Id="rId6" Type="http://schemas.openxmlformats.org/officeDocument/2006/relationships/hyperlink" Target="http://www.lawcom.govt.nz/our-projects/women-and-access-justice" TargetMode="External"/><Relationship Id="rId11" Type="http://schemas.openxmlformats.org/officeDocument/2006/relationships/hyperlink" Target="http://magnacarta800th.com/schools/biographies/women-of-magna-carta/margaret-princess-of-scotland-and-countess-of-kent/" TargetMode="External"/><Relationship Id="rId5" Type="http://schemas.openxmlformats.org/officeDocument/2006/relationships/hyperlink" Target="http://www.gutenberg.org/files/43348/43348-h/43348-h.htm" TargetMode="External"/><Relationship Id="rId10" Type="http://schemas.openxmlformats.org/officeDocument/2006/relationships/hyperlink" Target="http://magnacarta800th.com/schools/biographies/women-of-magna-carta/isabella-princess-of-scotland-and-countess-of-norfolk/" TargetMode="External"/><Relationship Id="rId4" Type="http://schemas.openxmlformats.org/officeDocument/2006/relationships/hyperlink" Target="http://lcweb2.loc.gov/cgi-bin/query/r?ammem/mcc:@field(DOCID+@lit(mcc/049))" TargetMode="External"/><Relationship Id="rId9" Type="http://schemas.openxmlformats.org/officeDocument/2006/relationships/hyperlink" Target="http://magnacarta800th.com/schools/biographies/women-of-magna-carta/isabella-of-angouleme-wife-of-king-jo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80BC0-0B08-467B-94C1-2CD3538A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3652</Words>
  <Characters>20821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The University of Buckingham</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jocelynne.scutt</dc:creator>
  <cp:keywords/>
  <dc:description/>
  <cp:lastModifiedBy>Freya Tyrrell</cp:lastModifiedBy>
  <cp:revision>4</cp:revision>
  <cp:lastPrinted>2015-09-05T06:38:00Z</cp:lastPrinted>
  <dcterms:created xsi:type="dcterms:W3CDTF">2024-02-23T13:59:00Z</dcterms:created>
  <dcterms:modified xsi:type="dcterms:W3CDTF">2024-03-11T15:35:00Z</dcterms:modified>
</cp:coreProperties>
</file>