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F36" w:rsidRDefault="00222F36">
      <w:pPr>
        <w:widowControl w:val="0"/>
        <w:pBdr>
          <w:top w:val="nil"/>
          <w:left w:val="nil"/>
          <w:bottom w:val="nil"/>
          <w:right w:val="nil"/>
          <w:between w:val="nil"/>
        </w:pBdr>
        <w:spacing w:line="276" w:lineRule="auto"/>
        <w:jc w:val="left"/>
      </w:pPr>
    </w:p>
    <w:p w:rsidR="00222F36" w:rsidRDefault="00222F36">
      <w:pPr>
        <w:widowControl w:val="0"/>
        <w:pBdr>
          <w:top w:val="nil"/>
          <w:left w:val="nil"/>
          <w:bottom w:val="nil"/>
          <w:right w:val="nil"/>
          <w:between w:val="nil"/>
        </w:pBdr>
        <w:spacing w:line="276" w:lineRule="auto"/>
        <w:jc w:val="left"/>
      </w:pPr>
    </w:p>
    <w:p w:rsidR="00222F36" w:rsidRDefault="00222F36">
      <w:pPr>
        <w:widowControl w:val="0"/>
        <w:pBdr>
          <w:top w:val="nil"/>
          <w:left w:val="nil"/>
          <w:bottom w:val="nil"/>
          <w:right w:val="nil"/>
          <w:between w:val="nil"/>
        </w:pBdr>
        <w:spacing w:line="276" w:lineRule="auto"/>
        <w:jc w:val="left"/>
      </w:pPr>
    </w:p>
    <w:p w:rsidR="00222F36" w:rsidRDefault="00222F36">
      <w:pPr>
        <w:widowControl w:val="0"/>
        <w:pBdr>
          <w:top w:val="nil"/>
          <w:left w:val="nil"/>
          <w:bottom w:val="nil"/>
          <w:right w:val="nil"/>
          <w:between w:val="nil"/>
        </w:pBdr>
        <w:spacing w:line="276" w:lineRule="auto"/>
        <w:jc w:val="left"/>
      </w:pPr>
    </w:p>
    <w:p w:rsidR="00222F36" w:rsidRDefault="00222F36">
      <w:pPr>
        <w:widowControl w:val="0"/>
        <w:pBdr>
          <w:top w:val="nil"/>
          <w:left w:val="nil"/>
          <w:bottom w:val="nil"/>
          <w:right w:val="nil"/>
          <w:between w:val="nil"/>
        </w:pBdr>
        <w:spacing w:line="276" w:lineRule="auto"/>
        <w:ind w:right="20"/>
        <w:jc w:val="left"/>
      </w:pPr>
    </w:p>
    <w:p w:rsidR="00222F36" w:rsidRDefault="00222F36"/>
    <w:p w:rsidR="00222F36" w:rsidRDefault="00222F36">
      <w:pPr>
        <w:pStyle w:val="Title"/>
        <w:ind w:firstLine="720"/>
        <w:jc w:val="center"/>
      </w:pPr>
    </w:p>
    <w:p w:rsidR="00222F36" w:rsidRPr="002A7011" w:rsidRDefault="000B682F">
      <w:pPr>
        <w:pStyle w:val="Title"/>
        <w:jc w:val="center"/>
      </w:pPr>
      <w:r w:rsidRPr="002A7011">
        <w:t xml:space="preserve">The Role of Sentiment in the Economy: 1920 to 1934 </w:t>
      </w:r>
    </w:p>
    <w:p w:rsidR="00222F36" w:rsidRPr="002A7011" w:rsidRDefault="00222F36"/>
    <w:p w:rsidR="00222F36" w:rsidRPr="002A7011" w:rsidRDefault="000B682F">
      <w:pPr>
        <w:jc w:val="center"/>
        <w:rPr>
          <w:vertAlign w:val="superscript"/>
        </w:rPr>
      </w:pPr>
      <w:r w:rsidRPr="002A7011">
        <w:t>Ali Kabiri, Harold James, John Landon-Lane,</w:t>
      </w:r>
      <w:r w:rsidRPr="002A7011">
        <w:rPr>
          <w:vertAlign w:val="superscript"/>
        </w:rPr>
        <w:t xml:space="preserve"> </w:t>
      </w:r>
      <w:r w:rsidRPr="002A7011">
        <w:t>David Tuckett, and Rickard Nyman</w:t>
      </w:r>
      <w:r w:rsidRPr="002A7011">
        <w:rPr>
          <w:vertAlign w:val="superscript"/>
        </w:rPr>
        <w:footnoteReference w:id="1"/>
      </w:r>
      <w:r w:rsidRPr="002A7011">
        <w:rPr>
          <w:vertAlign w:val="superscript"/>
        </w:rPr>
        <w:t>*</w:t>
      </w:r>
    </w:p>
    <w:p w:rsidR="00222F36" w:rsidRPr="002A7011" w:rsidRDefault="00222F36"/>
    <w:p w:rsidR="00222F36" w:rsidRPr="002A7011" w:rsidRDefault="000B682F">
      <w:pPr>
        <w:tabs>
          <w:tab w:val="left" w:pos="1785"/>
          <w:tab w:val="center" w:pos="3790"/>
        </w:tabs>
        <w:jc w:val="left"/>
        <w:rPr>
          <w:i/>
        </w:rPr>
      </w:pPr>
      <w:r w:rsidRPr="002A7011">
        <w:rPr>
          <w:i/>
        </w:rPr>
        <w:tab/>
      </w:r>
      <w:r w:rsidRPr="002A7011">
        <w:rPr>
          <w:i/>
        </w:rPr>
        <w:tab/>
        <w:t>Abstract</w:t>
      </w:r>
    </w:p>
    <w:p w:rsidR="00222F36" w:rsidRPr="002A7011" w:rsidRDefault="000B682F">
      <w:pPr>
        <w:rPr>
          <w:i/>
          <w:sz w:val="22"/>
          <w:szCs w:val="22"/>
        </w:rPr>
      </w:pPr>
      <w:r w:rsidRPr="002A7011">
        <w:rPr>
          <w:i/>
          <w:sz w:val="22"/>
          <w:szCs w:val="22"/>
        </w:rPr>
        <w:t>This paper investigates sentiment in the US economy from 1920 to 1934 using digitized articles from the Wall St Journal. We derive a monthly sentiment index and use a ten variable vector error correction model to identify sentiment shocks that are orthogonal to fundamentals. We show the timing and strength of these shocks and their resultant effects on the economy using historical decompositions. Intermittent impacts of up to fifteen percent on Industrial Production, ten percent on the S&amp;P 500 and Bank loans and, thirty-seven basis points for the Credit risk spread, suggest a large role for sentiment.</w:t>
      </w:r>
    </w:p>
    <w:p w:rsidR="00222F36" w:rsidRPr="002A7011" w:rsidRDefault="00222F36"/>
    <w:p w:rsidR="00222F36" w:rsidRPr="002A7011" w:rsidRDefault="000B682F">
      <w:r w:rsidRPr="002A7011">
        <w:t>JEL; D89, E32, E70, N1, N3</w:t>
      </w:r>
    </w:p>
    <w:p w:rsidR="00222F36" w:rsidRPr="002A7011" w:rsidRDefault="000B682F">
      <w:r w:rsidRPr="002A7011">
        <w:t>Keywords; Great Depression, General Theory, Algorithmic Text Analysis, Behavioural Economics</w:t>
      </w:r>
    </w:p>
    <w:p w:rsidR="00222F36" w:rsidRPr="002A7011" w:rsidRDefault="000B682F">
      <w:pPr>
        <w:pStyle w:val="Heading1"/>
        <w:numPr>
          <w:ilvl w:val="0"/>
          <w:numId w:val="1"/>
        </w:numPr>
      </w:pPr>
      <w:r w:rsidRPr="002A7011">
        <w:lastRenderedPageBreak/>
        <w:t>Introduction</w:t>
      </w:r>
    </w:p>
    <w:p w:rsidR="00222F36" w:rsidRPr="002A7011" w:rsidRDefault="00222F36">
      <w:pPr>
        <w:widowControl w:val="0"/>
        <w:pBdr>
          <w:top w:val="nil"/>
          <w:left w:val="nil"/>
          <w:bottom w:val="nil"/>
          <w:right w:val="nil"/>
          <w:between w:val="nil"/>
        </w:pBdr>
        <w:ind w:left="827" w:hanging="361"/>
        <w:rPr>
          <w:color w:val="000000"/>
          <w:sz w:val="22"/>
          <w:szCs w:val="22"/>
        </w:rPr>
      </w:pPr>
    </w:p>
    <w:p w:rsidR="00222F36" w:rsidRPr="002A7011" w:rsidRDefault="000B682F">
      <w:pPr>
        <w:spacing w:line="480" w:lineRule="auto"/>
      </w:pPr>
      <w:r w:rsidRPr="002A7011">
        <w:t>Understanding what delivered the shock of the Great Depression has become what Ben Bernanke memorably called the “holy grail” of macroeconomics: but we know from medieval stories that the knights almost never succeed in their quest.</w:t>
      </w:r>
      <w:r w:rsidRPr="002A7011">
        <w:rPr>
          <w:vertAlign w:val="superscript"/>
        </w:rPr>
        <w:footnoteReference w:id="2"/>
      </w:r>
      <w:r w:rsidRPr="002A7011">
        <w:t xml:space="preserve"> Although the US economy was dynamic at the beginning of the twentieth century, the NBER also measures ten recessions from 1899-1933. From 1920-34 credit and sentiment played a prominent role in the expansion and subsequent crisis in the US economy according to many historical accounts.</w:t>
      </w:r>
      <w:r w:rsidRPr="002A7011">
        <w:rPr>
          <w:vertAlign w:val="superscript"/>
        </w:rPr>
        <w:footnoteReference w:id="3"/>
      </w:r>
      <w:r w:rsidRPr="002A7011">
        <w:t xml:space="preserve"> This paper examines whether these credit and business cycles can be explained partly in terms of sentiment, or market psychology. </w:t>
      </w:r>
    </w:p>
    <w:p w:rsidR="00222F36" w:rsidRPr="002A7011" w:rsidRDefault="000B682F">
      <w:pPr>
        <w:spacing w:line="480" w:lineRule="auto"/>
        <w:ind w:firstLine="720"/>
      </w:pPr>
      <w:r w:rsidRPr="002A7011">
        <w:t>By the summer of 1932, the US stock market had fallen by ninety percent from its 1929 peak, amidst the most severe depression in US history. Economists Benjamin Graham and David Dodd lamented the exuberance of the 1920s and the undervaluation of the US stock market in the market trough in 1932.</w:t>
      </w:r>
      <w:r w:rsidRPr="002A7011">
        <w:rPr>
          <w:vertAlign w:val="superscript"/>
        </w:rPr>
        <w:footnoteReference w:id="4"/>
      </w:r>
      <w:r w:rsidRPr="002A7011">
        <w:t xml:space="preserve"> Irving Fisher in 1932 cited “pessimism” as one of the factors prolonging the slump: “Everybody's opinion is largely guided by the opinion of everybody else, even the people with the coolest heads will at least ‘fear the fears of other men’ and contribute to the panic of which such fears are a part.”</w:t>
      </w:r>
      <w:r w:rsidRPr="002A7011">
        <w:rPr>
          <w:vertAlign w:val="superscript"/>
        </w:rPr>
        <w:footnoteReference w:id="5"/>
      </w:r>
      <w:r w:rsidRPr="002A7011">
        <w:t xml:space="preserve"> New ideas about the role of human psychology in the economy were given greater credence </w:t>
      </w:r>
      <w:r w:rsidRPr="002A7011">
        <w:lastRenderedPageBreak/>
        <w:t xml:space="preserve">following the publication of Keynes’ </w:t>
      </w:r>
      <w:r w:rsidRPr="002A7011">
        <w:rPr>
          <w:i/>
        </w:rPr>
        <w:t>The General Theory of Employment, Interest and Money</w:t>
      </w:r>
      <w:r w:rsidRPr="002A7011">
        <w:t>. The role of expectations that Keynes’ new theory set out has been widely accepted. The role he attached to “animal spirits” (i.e. the role of human emotion in human cognition) has remained more controversial. He wrote of how “the uncontrollable and disobedient psychology of the business world” determined the marginal efficiency of capital.</w:t>
      </w:r>
      <w:r w:rsidRPr="002A7011">
        <w:rPr>
          <w:vertAlign w:val="superscript"/>
        </w:rPr>
        <w:t xml:space="preserve"> </w:t>
      </w:r>
      <w:r w:rsidRPr="002A7011">
        <w:rPr>
          <w:vertAlign w:val="superscript"/>
        </w:rPr>
        <w:footnoteReference w:id="6"/>
      </w:r>
      <w:r w:rsidRPr="002A7011">
        <w:t xml:space="preserve"> </w:t>
      </w:r>
    </w:p>
    <w:p w:rsidR="00222F36" w:rsidRPr="002A7011" w:rsidRDefault="000B682F">
      <w:pPr>
        <w:spacing w:line="480" w:lineRule="auto"/>
        <w:ind w:firstLine="720"/>
      </w:pPr>
      <w:r w:rsidRPr="002A7011">
        <w:t>A disaggregation of sentiment shows a particular importance of sentiment in the period before the Great Depression; during the Great Depression, the identification exercise makes it hard to separate negative sentiment from the negative real economic performance. There may be a spiral in which economic news generate more negative sentiment which leads then to worse economic performance and so on, but the causal mechanism in that process – unlike in the pre-1929 era – cannot be clearly identified.</w:t>
      </w:r>
    </w:p>
    <w:p w:rsidR="00222F36" w:rsidRPr="002A7011" w:rsidRDefault="000B682F">
      <w:pPr>
        <w:spacing w:line="480" w:lineRule="auto"/>
        <w:ind w:firstLine="720"/>
      </w:pPr>
      <w:r w:rsidRPr="002A7011">
        <w:t>Sentiment looks for signals, and some part – rather larger than the real extent of the ties of the US to the world – derived from the interpretation of developments elsewhere. Edward V. Decker, president of the Northwestern National Bank Minneapolis, explained how ‘we are learning more to work together, farmers, bankers, businessmen, railroad men, and we propose to march forward with a united front, believing and expecting that we will have our share of the world's prosperity during the next few years.’</w:t>
      </w:r>
      <w:r w:rsidRPr="002A7011">
        <w:rPr>
          <w:vertAlign w:val="superscript"/>
        </w:rPr>
        <w:footnoteReference w:id="7"/>
      </w:r>
      <w:r w:rsidRPr="002A7011">
        <w:t xml:space="preserve"> On the other hand, events elsewhere had the capacity to shake Americans’ confidence and security.</w:t>
      </w:r>
    </w:p>
    <w:p w:rsidR="00222F36" w:rsidRPr="002A7011" w:rsidRDefault="000B682F">
      <w:pPr>
        <w:spacing w:line="480" w:lineRule="auto"/>
        <w:ind w:firstLine="720"/>
      </w:pPr>
      <w:r w:rsidRPr="002A7011">
        <w:lastRenderedPageBreak/>
        <w:t xml:space="preserve">One such channel of sentiment and views about future prospects was especially important in the US in the 1920s. Before 1914, or the US entry into the First World War in 1917, the US economy looked rather cut off from world events. Now there were financial and political linkages in the form of war debts and reparations. Although because of its size the US was not an open economy, the perception of links to the wider world played a disproportionate role at particular turning points: the end of the post-war deflation in 1921, the emergence of prosperity in 1926 and of uncertainty in 1929 and 1930. </w:t>
      </w:r>
    </w:p>
    <w:p w:rsidR="00222F36" w:rsidRPr="002A7011" w:rsidRDefault="000B682F">
      <w:pPr>
        <w:spacing w:line="480" w:lineRule="auto"/>
      </w:pPr>
      <w:r w:rsidRPr="002A7011">
        <w:tab/>
        <w:t>New research analysing news article data and a lexicon approach to search for words with positive and negative emotional content (the technical term is ‘valence’) has been shown to be useful in understanding financial outcomes.</w:t>
      </w:r>
      <w:r w:rsidRPr="002A7011">
        <w:rPr>
          <w:vertAlign w:val="superscript"/>
        </w:rPr>
        <w:footnoteReference w:id="8"/>
      </w:r>
      <w:r w:rsidRPr="002A7011">
        <w:t xml:space="preserve"> Others use the analysis of news media or other digital sources to derive information about expectations and economic behaviour.</w:t>
      </w:r>
      <w:r w:rsidRPr="002A7011">
        <w:rPr>
          <w:vertAlign w:val="superscript"/>
        </w:rPr>
        <w:footnoteReference w:id="9"/>
      </w:r>
      <w:r w:rsidRPr="002A7011">
        <w:t xml:space="preserve"> Recently, these innovative approaches have evolved to include very large long-run datasets of digitized news media examining the predictability of stock market volatility and stock prices and the impact of uncertainty induced by government policy.</w:t>
      </w:r>
      <w:r w:rsidRPr="002A7011">
        <w:rPr>
          <w:vertAlign w:val="superscript"/>
        </w:rPr>
        <w:footnoteReference w:id="10"/>
      </w:r>
      <w:r w:rsidRPr="002A7011">
        <w:t xml:space="preserve"> </w:t>
      </w:r>
    </w:p>
    <w:p w:rsidR="00222F36" w:rsidRPr="002A7011" w:rsidRDefault="000B682F">
      <w:pPr>
        <w:spacing w:line="480" w:lineRule="auto"/>
        <w:rPr>
          <w:sz w:val="28"/>
          <w:szCs w:val="28"/>
        </w:rPr>
      </w:pPr>
      <w:r w:rsidRPr="002A7011">
        <w:lastRenderedPageBreak/>
        <w:tab/>
        <w:t>Specific historical applications of news article analysis have also emerged. One strand use news media data to examine inflation expectations</w:t>
      </w:r>
      <w:r w:rsidRPr="002A7011">
        <w:rPr>
          <w:vertAlign w:val="superscript"/>
        </w:rPr>
        <w:t xml:space="preserve"> </w:t>
      </w:r>
      <w:r w:rsidRPr="002A7011">
        <w:t>and others use uncertainty indexes derived from news media to examine the role of economic, government policy and political uncertainty on economic outcomes, in the interwar period.</w:t>
      </w:r>
      <w:r w:rsidRPr="002A7011">
        <w:rPr>
          <w:vertAlign w:val="superscript"/>
        </w:rPr>
        <w:footnoteReference w:id="11"/>
      </w:r>
      <w:r w:rsidRPr="002A7011">
        <w:t xml:space="preserve"> </w:t>
      </w:r>
      <w:r w:rsidR="006C3679" w:rsidRPr="002A7011">
        <w:rPr>
          <w:lang w:val="en-US"/>
        </w:rPr>
        <w:t>Increased uncertainty has in the past been an explanation for the transmission mechanism between the stock market collapse and a reduction of orders and of demand that started the descent into the Great Depression.</w:t>
      </w:r>
      <w:r w:rsidR="006C3679" w:rsidRPr="002A7011">
        <w:rPr>
          <w:rStyle w:val="FootnoteReference"/>
          <w:lang w:val="en-US"/>
        </w:rPr>
        <w:footnoteReference w:id="12"/>
      </w:r>
      <w:r w:rsidR="006C3679" w:rsidRPr="002A7011">
        <w:rPr>
          <w:lang w:val="en-US"/>
        </w:rPr>
        <w:t xml:space="preserve">  </w:t>
      </w:r>
      <w:r w:rsidRPr="002A7011">
        <w:t>New research focusing on emotions specifically uses a diverse range of text sources to understand emotions, sentiment, and wellbeing that cover the interwar period.</w:t>
      </w:r>
      <w:r w:rsidRPr="002A7011">
        <w:rPr>
          <w:vertAlign w:val="superscript"/>
        </w:rPr>
        <w:footnoteReference w:id="13"/>
      </w:r>
    </w:p>
    <w:p w:rsidR="00222F36" w:rsidRPr="002A7011" w:rsidRDefault="000B682F">
      <w:pPr>
        <w:spacing w:line="480" w:lineRule="auto"/>
        <w:ind w:firstLine="720"/>
      </w:pPr>
      <w:r w:rsidRPr="002A7011">
        <w:t xml:space="preserve">The volatile credit and business cycles of 1920-34 provides the ideal setting to test for the role of sentiment using these new techniques and novel datasets on the basis of modern empirical research, as well as of the several prominent contemporary accounts of the period that emphasise behavioural effects. Evidence of sentiment-based mispricing of financial assets has been found by examining closed-end fund premia, while others suggest that an </w:t>
      </w:r>
      <w:r w:rsidRPr="002A7011">
        <w:lastRenderedPageBreak/>
        <w:t>overvaluation of the stock market of a significant size occurred from 1927-9.</w:t>
      </w:r>
      <w:r w:rsidRPr="002A7011">
        <w:rPr>
          <w:vertAlign w:val="superscript"/>
        </w:rPr>
        <w:t xml:space="preserve"> </w:t>
      </w:r>
      <w:r w:rsidRPr="002A7011">
        <w:rPr>
          <w:vertAlign w:val="superscript"/>
        </w:rPr>
        <w:footnoteReference w:id="14"/>
      </w:r>
      <w:r w:rsidRPr="002A7011">
        <w:rPr>
          <w:vertAlign w:val="superscript"/>
        </w:rPr>
        <w:t xml:space="preserve"> </w:t>
      </w:r>
      <w:r w:rsidRPr="002A7011">
        <w:t xml:space="preserve"> Shiller illustrates over and under valuation in the late 1920s and early 1930s US stock market.</w:t>
      </w:r>
      <w:r w:rsidRPr="002A7011">
        <w:rPr>
          <w:vertAlign w:val="superscript"/>
        </w:rPr>
        <w:t xml:space="preserve"> </w:t>
      </w:r>
      <w:r w:rsidRPr="002A7011">
        <w:rPr>
          <w:vertAlign w:val="superscript"/>
        </w:rPr>
        <w:footnoteReference w:id="15"/>
      </w:r>
      <w:r w:rsidRPr="002A7011">
        <w:rPr>
          <w:sz w:val="20"/>
          <w:szCs w:val="20"/>
        </w:rPr>
        <w:t xml:space="preserve">  </w:t>
      </w:r>
      <w:r w:rsidRPr="002A7011">
        <w:t xml:space="preserve">We investigate the impact of sentiment on major components of the macro economy to better understand them in a dynamic setting and are the first paper we are aware of to use this specific approach in a comprehensive dynamic macroeconomic model. </w:t>
      </w:r>
    </w:p>
    <w:p w:rsidR="00222F36" w:rsidRPr="002A7011" w:rsidRDefault="000B682F">
      <w:pPr>
        <w:spacing w:line="480" w:lineRule="auto"/>
      </w:pPr>
      <w:r w:rsidRPr="002A7011">
        <w:tab/>
        <w:t>We hypothesise that newspaper articles of the time contain both information related to the state of emotions or confidence of economic agents and factual information about or related to the fundamentals of the economy.</w:t>
      </w:r>
      <w:r w:rsidRPr="002A7011">
        <w:rPr>
          <w:color w:val="000000"/>
          <w:sz w:val="20"/>
          <w:szCs w:val="20"/>
        </w:rPr>
        <w:t xml:space="preserve"> </w:t>
      </w:r>
      <w:r w:rsidRPr="002A7011">
        <w:rPr>
          <w:color w:val="000000"/>
        </w:rPr>
        <w:t xml:space="preserve">In our model, the </w:t>
      </w:r>
      <w:r w:rsidRPr="002A7011">
        <w:t>emotion or ‘sentiment’ component can have independent effects on the economy that are unrelated directly to the fundamentals that they describe and we control for expectations of future fundamentals through several mechanisms.</w:t>
      </w:r>
      <w:r w:rsidRPr="002A7011">
        <w:rPr>
          <w:vertAlign w:val="superscript"/>
        </w:rPr>
        <w:footnoteReference w:id="16"/>
      </w:r>
      <w:r w:rsidRPr="002A7011">
        <w:t xml:space="preserve"> Our aim is to illustrate two key points: First, what these sentiment shocks look like when expectations and fundamentals are accounted for and second: the scale, timing, and locus of related impacts on the economy.</w:t>
      </w:r>
    </w:p>
    <w:p w:rsidR="00222F36" w:rsidRPr="002A7011" w:rsidRDefault="000B682F">
      <w:pPr>
        <w:keepNext/>
        <w:pBdr>
          <w:top w:val="nil"/>
          <w:left w:val="nil"/>
          <w:bottom w:val="nil"/>
          <w:right w:val="nil"/>
          <w:between w:val="nil"/>
        </w:pBdr>
        <w:spacing w:after="200" w:line="480" w:lineRule="auto"/>
        <w:rPr>
          <w:color w:val="000000"/>
        </w:rPr>
      </w:pPr>
      <w:bookmarkStart w:id="0" w:name="_heading=h.fl39psjlyvx9" w:colFirst="0" w:colLast="0"/>
      <w:bookmarkEnd w:id="0"/>
      <w:r w:rsidRPr="002A7011">
        <w:rPr>
          <w:color w:val="000000"/>
        </w:rPr>
        <w:tab/>
        <w:t xml:space="preserve">To investigate our hypothesis, we utilize a computer algorithm to conduct large-scale text analysis of digitized newspaper articles, that measures the emotional word content in economic and financial narratives from approximately 1,000 </w:t>
      </w:r>
      <w:r w:rsidR="008B1906" w:rsidRPr="002A7011">
        <w:rPr>
          <w:color w:val="000000"/>
        </w:rPr>
        <w:t>sentiment-containing items</w:t>
      </w:r>
      <w:r w:rsidRPr="002A7011">
        <w:rPr>
          <w:color w:val="000000"/>
        </w:rPr>
        <w:t xml:space="preserve"> per month in The Wall Street </w:t>
      </w:r>
      <w:r w:rsidRPr="002A7011">
        <w:rPr>
          <w:color w:val="000000"/>
        </w:rPr>
        <w:lastRenderedPageBreak/>
        <w:t>Journal (WSJ) from 1920-1934. We use our algorithm, which counts sentiment-indicating or, ‘emotionally l</w:t>
      </w:r>
      <w:r w:rsidRPr="002A7011">
        <w:t>oaded</w:t>
      </w:r>
      <w:r w:rsidRPr="002A7011">
        <w:rPr>
          <w:color w:val="000000"/>
        </w:rPr>
        <w:t>’ words to produce an index for WSJ from 1920-1934. Our index measures the balance between two emotion groups that are broadly analogous to excitement (approach) and anxiety (avoidance) in text data, using a lexicon of approximately 150 words for each category utilizing ordinary English words, associated with these two major groups. We calculate the difference between word counts from each word group normalized by the total word count per month to derive our index at a monthly frequency. We label this the business</w:t>
      </w:r>
      <w:r w:rsidRPr="002A7011">
        <w:t>-</w:t>
      </w:r>
      <w:r w:rsidRPr="002A7011">
        <w:rPr>
          <w:color w:val="000000"/>
        </w:rPr>
        <w:t>sentiment index. W</w:t>
      </w:r>
      <w:r w:rsidRPr="002A7011">
        <w:t>e</w:t>
      </w:r>
      <w:r w:rsidRPr="002A7011">
        <w:rPr>
          <w:color w:val="000000"/>
        </w:rPr>
        <w:t xml:space="preserve"> produce a </w:t>
      </w:r>
      <w:r w:rsidRPr="002A7011">
        <w:t>general</w:t>
      </w:r>
      <w:r w:rsidRPr="002A7011">
        <w:rPr>
          <w:color w:val="000000"/>
        </w:rPr>
        <w:t xml:space="preserve"> news</w:t>
      </w:r>
      <w:r w:rsidRPr="002A7011">
        <w:t>-</w:t>
      </w:r>
      <w:r w:rsidRPr="002A7011">
        <w:rPr>
          <w:color w:val="000000"/>
        </w:rPr>
        <w:t xml:space="preserve">sentiment index using digitized articles from the </w:t>
      </w:r>
      <w:r w:rsidRPr="002A7011">
        <w:rPr>
          <w:i/>
          <w:color w:val="000000"/>
        </w:rPr>
        <w:t>New York Times</w:t>
      </w:r>
      <w:r w:rsidRPr="002A7011">
        <w:rPr>
          <w:color w:val="000000"/>
        </w:rPr>
        <w:t xml:space="preserve"> (NYT) in the same way as the WSJ. The WSJ was a smaller (but still substantial) circulation paper, focused on business and finance news, and a key source of information to people involved in stock transactions, while the NYT is a much broader news source. The WSJ had a circulation of 18,750 in 1920, which grew to about 50,000 by the summer of 1929: an expansion which itself is an indication of the extent to which stock market engagement had become popularized in the great boom of the 1920s.</w:t>
      </w:r>
      <w:r w:rsidRPr="002A7011">
        <w:rPr>
          <w:color w:val="000000"/>
          <w:vertAlign w:val="superscript"/>
        </w:rPr>
        <w:footnoteReference w:id="17"/>
      </w:r>
    </w:p>
    <w:p w:rsidR="00222F36" w:rsidRPr="002A7011" w:rsidRDefault="000B682F">
      <w:pPr>
        <w:spacing w:line="480" w:lineRule="auto"/>
        <w:ind w:firstLine="720"/>
      </w:pPr>
      <w:r w:rsidRPr="002A7011">
        <w:t xml:space="preserve">Having constructed our indexes, we assemble a database of the macro economy from 1920-1934 at a monthly frequency. To perform the empirical investigation, we utilize a 10 variable vector error correction (VECM) model to identify a business-sentiment shock that is orthogonal to a large number of important variables. These variables include output, the stock market, prices, </w:t>
      </w:r>
      <w:r w:rsidRPr="002A7011">
        <w:lastRenderedPageBreak/>
        <w:t>interest rates, and variables to control for inflation expectations and business credit distress. The model also uses a NYT based general news-sentiment index to filter out general news shocks.</w:t>
      </w:r>
    </w:p>
    <w:p w:rsidR="00222F36" w:rsidRPr="002A7011" w:rsidRDefault="000B682F">
      <w:pPr>
        <w:spacing w:line="480" w:lineRule="auto"/>
        <w:ind w:firstLine="720"/>
      </w:pPr>
      <w:bookmarkStart w:id="1" w:name="_heading=h.30j0zll" w:colFirst="0" w:colLast="0"/>
      <w:bookmarkEnd w:id="1"/>
      <w:r w:rsidRPr="002A7011">
        <w:t xml:space="preserve">We are subsequently able to analyse and interpret episodes where structural shocks to our VEC model are at their most intense and refer back to the actual news articles driving these effects. We do this by scoring each article individually for its net level of positive or negative business-sentiment words. We then perform historical decompositions utilising this model to illustrate clearly the impact of these structural shocks on all of the macroeconomic and financial variables. This method allows us to compare the actual with the counterfactual path of the economy without the impact of business-sentiment shocks. </w:t>
      </w:r>
    </w:p>
    <w:p w:rsidR="00222F36" w:rsidRPr="002A7011" w:rsidRDefault="000B682F">
      <w:pPr>
        <w:pBdr>
          <w:top w:val="nil"/>
          <w:left w:val="nil"/>
          <w:bottom w:val="nil"/>
          <w:right w:val="nil"/>
          <w:between w:val="nil"/>
        </w:pBdr>
        <w:spacing w:after="160" w:line="480" w:lineRule="auto"/>
        <w:ind w:firstLine="432"/>
        <w:rPr>
          <w:color w:val="000000"/>
        </w:rPr>
      </w:pPr>
      <w:r w:rsidRPr="002A7011">
        <w:rPr>
          <w:color w:val="000000"/>
        </w:rPr>
        <w:t>The results show our business-sentiment index has robust and economically meaningful effects on the real economy. We illustrate the timing and intensity of these effects for Industrial production, the S&amp;P 500 stock market index, bank loans, prices, interest rates, credit risk spreads, and term spreads. The impacts are large, reaching up to fifteen percent of the initial value for industrial production and ten percent for the S&amp;P 500 and bank loans in specific time periods. Analysis of the business-sentiment levels in the specific news articles that create the structural shocks and their subsequent impacts on the economy, illustrate the potential sources of the shocks.</w:t>
      </w:r>
    </w:p>
    <w:p w:rsidR="00222F36" w:rsidRPr="002A7011" w:rsidRDefault="000B682F">
      <w:pPr>
        <w:spacing w:line="480" w:lineRule="auto"/>
        <w:ind w:firstLine="432"/>
        <w:rPr>
          <w:color w:val="000000"/>
        </w:rPr>
      </w:pPr>
      <w:r w:rsidRPr="002A7011">
        <w:t>We proceed</w:t>
      </w:r>
      <w:r w:rsidRPr="002A7011">
        <w:rPr>
          <w:color w:val="000000"/>
        </w:rPr>
        <w:t xml:space="preserve"> as follows. Section 2 describes the WSJ article data and macroeconomic data, and the method for constructing the business-sentiment index. Section 3 sets out the econometric method and reports the results of the </w:t>
      </w:r>
      <w:r w:rsidRPr="002A7011">
        <w:rPr>
          <w:color w:val="000000"/>
        </w:rPr>
        <w:lastRenderedPageBreak/>
        <w:t>empirical investigation of the effect of business-sentiment on the economy. In Section 4 we use historical decompositions of sub-periods to investigate the impact of business-sentiment on the economy while in Section 6 we report our summary and conclusions.</w:t>
      </w:r>
    </w:p>
    <w:p w:rsidR="00222F36" w:rsidRPr="002A7011" w:rsidRDefault="00222F36"/>
    <w:p w:rsidR="00222F36" w:rsidRPr="002A7011" w:rsidRDefault="000B682F">
      <w:pPr>
        <w:pStyle w:val="Heading1"/>
        <w:numPr>
          <w:ilvl w:val="0"/>
          <w:numId w:val="1"/>
        </w:numPr>
      </w:pPr>
      <w:r w:rsidRPr="002A7011">
        <w:t>Construction of a Business-sentiment Index</w:t>
      </w:r>
    </w:p>
    <w:p w:rsidR="00222F36" w:rsidRPr="002A7011" w:rsidRDefault="00222F36"/>
    <w:p w:rsidR="001B668F" w:rsidRPr="002A7011" w:rsidRDefault="000B682F">
      <w:pPr>
        <w:pBdr>
          <w:top w:val="nil"/>
          <w:left w:val="nil"/>
          <w:bottom w:val="nil"/>
          <w:right w:val="nil"/>
          <w:between w:val="nil"/>
        </w:pBdr>
        <w:spacing w:after="160" w:line="480" w:lineRule="auto"/>
        <w:rPr>
          <w:color w:val="000000"/>
        </w:rPr>
      </w:pPr>
      <w:r w:rsidRPr="002A7011">
        <w:rPr>
          <w:color w:val="000000"/>
        </w:rPr>
        <w:t xml:space="preserve">The analysis is based on the ProQuest digital archive of the WSJ, </w:t>
      </w:r>
      <w:r w:rsidRPr="002A7011">
        <w:t xml:space="preserve">which in its entirety consists </w:t>
      </w:r>
      <w:r w:rsidR="008B1906" w:rsidRPr="002A7011">
        <w:rPr>
          <w:color w:val="000000"/>
        </w:rPr>
        <w:t>of 1.07</w:t>
      </w:r>
      <w:r w:rsidRPr="002A7011">
        <w:rPr>
          <w:color w:val="000000"/>
        </w:rPr>
        <w:t xml:space="preserve"> million individual </w:t>
      </w:r>
      <w:r w:rsidRPr="002A7011">
        <w:t xml:space="preserve">digitised news items </w:t>
      </w:r>
      <w:r w:rsidR="008B1906" w:rsidRPr="002A7011">
        <w:rPr>
          <w:color w:val="000000"/>
        </w:rPr>
        <w:t>published between 1920</w:t>
      </w:r>
      <w:r w:rsidRPr="002A7011">
        <w:rPr>
          <w:color w:val="000000"/>
        </w:rPr>
        <w:t xml:space="preserve"> and 1934, converted to an XML format that is machine-readable. We also </w:t>
      </w:r>
      <w:r w:rsidRPr="002A7011">
        <w:t>collect</w:t>
      </w:r>
      <w:r w:rsidRPr="002A7011">
        <w:rPr>
          <w:color w:val="000000"/>
        </w:rPr>
        <w:t xml:space="preserve"> </w:t>
      </w:r>
      <w:r w:rsidRPr="002A7011">
        <w:t xml:space="preserve">news items </w:t>
      </w:r>
      <w:r w:rsidR="008B1906" w:rsidRPr="002A7011">
        <w:rPr>
          <w:color w:val="000000"/>
        </w:rPr>
        <w:t>from the NYT from 1920 to 1934</w:t>
      </w:r>
      <w:r w:rsidRPr="002A7011">
        <w:rPr>
          <w:color w:val="000000"/>
        </w:rPr>
        <w:t>. We focus only on the period 1920-1934</w:t>
      </w:r>
      <w:r w:rsidRPr="002A7011">
        <w:t xml:space="preserve"> using the NYT and WSJ</w:t>
      </w:r>
      <w:r w:rsidRPr="002A7011">
        <w:rPr>
          <w:color w:val="000000"/>
        </w:rPr>
        <w:t xml:space="preserve"> </w:t>
      </w:r>
      <w:r w:rsidRPr="002A7011">
        <w:t>due to data availability for the macro</w:t>
      </w:r>
      <w:r w:rsidR="009C474D" w:rsidRPr="002A7011">
        <w:t xml:space="preserve"> </w:t>
      </w:r>
      <w:r w:rsidRPr="002A7011">
        <w:t>economy</w:t>
      </w:r>
      <w:r w:rsidRPr="002A7011">
        <w:rPr>
          <w:color w:val="000000"/>
        </w:rPr>
        <w:t>. We filter both databases by removing non-relevant items such as theatre reviews, legal notices, classified advertisements and display advertisements</w:t>
      </w:r>
      <w:r w:rsidRPr="002A7011">
        <w:t xml:space="preserve"> leaving </w:t>
      </w:r>
      <w:r w:rsidR="008B1906" w:rsidRPr="002A7011">
        <w:t>a total of 738,275 digitized items in our analysis. This is an average of 4400 digitized items per month, of which there is an average of 945 digitized items that contain at least one word from our sentiment lexicon</w:t>
      </w:r>
      <w:r w:rsidRPr="002A7011">
        <w:rPr>
          <w:color w:val="000000"/>
        </w:rPr>
        <w:t>.</w:t>
      </w:r>
      <w:r w:rsidR="008B1906" w:rsidRPr="002A7011">
        <w:rPr>
          <w:color w:val="000000"/>
        </w:rPr>
        <w:t xml:space="preserve"> The items that contains at least one word from our sentiment lexicon account for </w:t>
      </w:r>
      <w:r w:rsidR="009C474D" w:rsidRPr="002A7011">
        <w:rPr>
          <w:color w:val="000000"/>
        </w:rPr>
        <w:t xml:space="preserve">a monthly average of 46 percent of the total number of words contained in the dataset. See the online appendix for a more detailed discussion of the data. </w:t>
      </w:r>
      <w:r w:rsidRPr="002A7011">
        <w:rPr>
          <w:color w:val="000000"/>
        </w:rPr>
        <w:t xml:space="preserve"> </w:t>
      </w:r>
    </w:p>
    <w:p w:rsidR="001B668F" w:rsidRPr="002A7011" w:rsidRDefault="000B682F" w:rsidP="001B668F">
      <w:pPr>
        <w:pBdr>
          <w:top w:val="nil"/>
          <w:left w:val="nil"/>
          <w:bottom w:val="nil"/>
          <w:right w:val="nil"/>
          <w:between w:val="nil"/>
        </w:pBdr>
        <w:spacing w:after="160" w:line="480" w:lineRule="auto"/>
        <w:ind w:firstLine="720"/>
        <w:rPr>
          <w:color w:val="000000"/>
        </w:rPr>
      </w:pPr>
      <w:r w:rsidRPr="002A7011">
        <w:rPr>
          <w:color w:val="000000"/>
        </w:rPr>
        <w:t xml:space="preserve">We measure business-sentiment as a summary statistic of words in news articles related to the two emotion groups. The </w:t>
      </w:r>
      <w:r w:rsidRPr="002A7011">
        <w:t>selection</w:t>
      </w:r>
      <w:r w:rsidRPr="002A7011">
        <w:rPr>
          <w:color w:val="000000"/>
        </w:rPr>
        <w:t xml:space="preserve"> of the word lists</w:t>
      </w:r>
      <w:r w:rsidRPr="002A7011">
        <w:t xml:space="preserve"> differ from existing lexicons. Examples of existing lexicons include Loughran and </w:t>
      </w:r>
      <w:r w:rsidRPr="002A7011">
        <w:lastRenderedPageBreak/>
        <w:t>McDonald (LM), and the Harvard-IV and Lasswell dictionaries.</w:t>
      </w:r>
      <w:r w:rsidRPr="002A7011">
        <w:rPr>
          <w:vertAlign w:val="superscript"/>
        </w:rPr>
        <w:footnoteReference w:id="18"/>
      </w:r>
      <w:r w:rsidRPr="002A7011">
        <w:t xml:space="preserve"> These provide alternative indexes of sentiment based on positive or negative valence however, none have word lists specifically for excitement (approach) or anxiety (avoidance). Our sentiment index is</w:t>
      </w:r>
      <w:r w:rsidRPr="002A7011">
        <w:rPr>
          <w:color w:val="000000"/>
        </w:rPr>
        <w:t xml:space="preserve"> based on Conviction Narrative Theory (CNT)</w:t>
      </w:r>
      <w:r w:rsidRPr="002A7011">
        <w:rPr>
          <w:color w:val="000000"/>
          <w:vertAlign w:val="superscript"/>
        </w:rPr>
        <w:footnoteReference w:id="19"/>
      </w:r>
      <w:r w:rsidRPr="002A7011">
        <w:t>. CNT is</w:t>
      </w:r>
      <w:r w:rsidRPr="002A7011">
        <w:rPr>
          <w:color w:val="000000"/>
        </w:rPr>
        <w:t xml:space="preserve"> a theory about decisions taken under radical uncertainty. It posits that the mental substrate underlying such decisions is a narrative – a summary representation of relevant causal, temporal, analogical, and normative information available to the decision maker – that is selected to support action although its outcome is ex ante uncertain because it evokes either approach or avoidance feeling.</w:t>
      </w:r>
      <w:r w:rsidRPr="002A7011">
        <w:rPr>
          <w:color w:val="000000"/>
          <w:vertAlign w:val="superscript"/>
        </w:rPr>
        <w:footnoteReference w:id="20"/>
      </w:r>
      <w:r w:rsidRPr="002A7011">
        <w:rPr>
          <w:color w:val="000000"/>
        </w:rPr>
        <w:t xml:space="preserve"> </w:t>
      </w:r>
    </w:p>
    <w:p w:rsidR="00222F36" w:rsidRPr="002A7011" w:rsidRDefault="000B682F" w:rsidP="001B668F">
      <w:pPr>
        <w:pBdr>
          <w:top w:val="nil"/>
          <w:left w:val="nil"/>
          <w:bottom w:val="nil"/>
          <w:right w:val="nil"/>
          <w:between w:val="nil"/>
        </w:pBdr>
        <w:spacing w:after="160" w:line="480" w:lineRule="auto"/>
        <w:ind w:firstLine="720"/>
        <w:rPr>
          <w:color w:val="000000"/>
        </w:rPr>
      </w:pPr>
      <w:r w:rsidRPr="002A7011">
        <w:rPr>
          <w:color w:val="000000"/>
        </w:rPr>
        <w:t xml:space="preserve">The word-lists were carefully constructed by expert judgement to </w:t>
      </w:r>
      <w:r w:rsidRPr="002A7011">
        <w:t xml:space="preserve">capture </w:t>
      </w:r>
      <w:r w:rsidRPr="002A7011">
        <w:rPr>
          <w:color w:val="000000"/>
        </w:rPr>
        <w:t>approach and avoidance emotions – originally conceived as excitement and anxiety, in the very specific sense as to whether the outcome was likely to be more or less conviction about action. A recent paper highlights the key differences between LM and our index using the Binder features of the words.</w:t>
      </w:r>
      <w:r w:rsidRPr="002A7011">
        <w:rPr>
          <w:color w:val="000000"/>
          <w:vertAlign w:val="superscript"/>
        </w:rPr>
        <w:footnoteReference w:id="21"/>
      </w:r>
      <w:r w:rsidRPr="002A7011">
        <w:rPr>
          <w:color w:val="000000"/>
        </w:rPr>
        <w:t xml:space="preserve"> The area where our lexicon differs from that of LM across 65 Binder features are the emotion groups linked to ‘cognition’, ‘drive’, ‘arousal’, ‘fearful’ and </w:t>
      </w:r>
      <w:r w:rsidRPr="002A7011">
        <w:rPr>
          <w:color w:val="000000"/>
        </w:rPr>
        <w:lastRenderedPageBreak/>
        <w:t xml:space="preserve">‘surprise’. </w:t>
      </w:r>
      <w:r w:rsidRPr="002A7011">
        <w:t xml:space="preserve">The index we produce reflects the </w:t>
      </w:r>
      <w:r w:rsidRPr="002A7011">
        <w:rPr>
          <w:color w:val="000000"/>
        </w:rPr>
        <w:t xml:space="preserve">emotions </w:t>
      </w:r>
      <w:r w:rsidRPr="002A7011">
        <w:t>leading to action or avoidance</w:t>
      </w:r>
      <w:r w:rsidRPr="002A7011">
        <w:rPr>
          <w:color w:val="000000"/>
        </w:rPr>
        <w:t xml:space="preserve"> </w:t>
      </w:r>
      <w:r w:rsidRPr="002A7011">
        <w:t xml:space="preserve">in the </w:t>
      </w:r>
      <w:r w:rsidRPr="002A7011">
        <w:rPr>
          <w:color w:val="000000"/>
        </w:rPr>
        <w:t xml:space="preserve">beliefs about firms, consumers, investors, </w:t>
      </w:r>
      <w:r w:rsidRPr="002A7011">
        <w:t>and</w:t>
      </w:r>
      <w:r w:rsidRPr="002A7011">
        <w:rPr>
          <w:color w:val="000000"/>
        </w:rPr>
        <w:t xml:space="preserve"> the overall economy that are contained in the news</w:t>
      </w:r>
      <w:r w:rsidRPr="002A7011">
        <w:t xml:space="preserve">. </w:t>
      </w:r>
    </w:p>
    <w:p w:rsidR="00222F36" w:rsidRPr="002A7011" w:rsidRDefault="000B682F">
      <w:pPr>
        <w:pBdr>
          <w:top w:val="nil"/>
          <w:left w:val="nil"/>
          <w:bottom w:val="nil"/>
          <w:right w:val="nil"/>
          <w:between w:val="nil"/>
        </w:pBdr>
        <w:spacing w:after="160" w:line="480" w:lineRule="auto"/>
        <w:ind w:firstLine="720"/>
        <w:rPr>
          <w:color w:val="000000"/>
        </w:rPr>
      </w:pPr>
      <w:r w:rsidRPr="002A7011">
        <w:rPr>
          <w:color w:val="000000"/>
        </w:rPr>
        <w:t>For each of the two groups, we use a word list, or lexicon that consists of about 150 words.</w:t>
      </w:r>
      <w:r w:rsidRPr="002A7011">
        <w:rPr>
          <w:color w:val="000000"/>
          <w:vertAlign w:val="superscript"/>
        </w:rPr>
        <w:footnoteReference w:id="22"/>
      </w:r>
      <w:r w:rsidRPr="002A7011">
        <w:rPr>
          <w:color w:val="000000"/>
        </w:rPr>
        <w:t xml:space="preserve"> </w:t>
      </w:r>
      <w:r w:rsidRPr="002A7011">
        <w:t>The word lists we use were first developed using expert judgement from a team consisting of a social anthropologist, a sociologist, a psychoanalyst and a clinical psychologist.</w:t>
      </w:r>
      <w:r w:rsidR="00C0711A" w:rsidRPr="002A7011">
        <w:rPr>
          <w:rStyle w:val="FootnoteReference"/>
        </w:rPr>
        <w:footnoteReference w:id="23"/>
      </w:r>
      <w:r w:rsidRPr="002A7011">
        <w:t xml:space="preserve"> </w:t>
      </w:r>
      <w:r w:rsidRPr="002A7011">
        <w:rPr>
          <w:color w:val="000000"/>
        </w:rPr>
        <w:t xml:space="preserve">We use a ‘bag of words’ technique and tokenize the articles to be able to match the words in each lexicon with the words in each article. </w:t>
      </w:r>
      <w:r w:rsidRPr="002A7011">
        <w:rPr>
          <w:vertAlign w:val="superscript"/>
        </w:rPr>
        <w:footnoteReference w:id="24"/>
      </w:r>
      <w:r w:rsidRPr="002A7011">
        <w:rPr>
          <w:vertAlign w:val="superscript"/>
        </w:rPr>
        <w:t xml:space="preserve"> </w:t>
      </w:r>
      <w:r w:rsidRPr="002A7011">
        <w:t>We do not treat the data for ‘</w:t>
      </w:r>
      <w:r w:rsidRPr="002A7011">
        <w:rPr>
          <w:color w:val="000000"/>
        </w:rPr>
        <w:t>Negation</w:t>
      </w:r>
      <w:r w:rsidRPr="002A7011">
        <w:t>’ as c</w:t>
      </w:r>
      <w:r w:rsidRPr="002A7011">
        <w:rPr>
          <w:color w:val="000000"/>
        </w:rPr>
        <w:t>orrelations between negated and non-negated sentiment time series in earlier work developing the method was 0.999, so were not seen as necessary.</w:t>
      </w:r>
      <w:r w:rsidRPr="002A7011">
        <w:t xml:space="preserve"> We do not automatically </w:t>
      </w:r>
      <w:r w:rsidR="00C0711A" w:rsidRPr="002A7011">
        <w:t>stem the words in the lexicon as the stemmed words were considered by the experts when constructing the lexicon</w:t>
      </w:r>
      <w:r w:rsidRPr="002A7011">
        <w:t xml:space="preserve">. ‘Stemming’ in this case has the danger of being too broad, capturing stems of words we do not want. In the excerpts from articles given below, we italicize the words from the lexicon: the reader will notice that it is a restrictive list and many terms with a powerful emotive effect (for instance abundant, faithless, nothing, pessimist or </w:t>
      </w:r>
      <w:r w:rsidRPr="002A7011">
        <w:lastRenderedPageBreak/>
        <w:t>optimist, progress, prosperity or prosperous, speculative, weak) are not on the lexicon list.</w:t>
      </w:r>
    </w:p>
    <w:p w:rsidR="00222F36" w:rsidRPr="002A7011" w:rsidRDefault="000B682F">
      <w:pPr>
        <w:pBdr>
          <w:top w:val="nil"/>
          <w:left w:val="nil"/>
          <w:bottom w:val="nil"/>
          <w:right w:val="nil"/>
          <w:between w:val="nil"/>
        </w:pBdr>
        <w:spacing w:after="160" w:line="480" w:lineRule="auto"/>
        <w:ind w:firstLine="720"/>
        <w:rPr>
          <w:color w:val="000000"/>
        </w:rPr>
      </w:pPr>
      <w:r w:rsidRPr="002A7011">
        <w:rPr>
          <w:color w:val="000000"/>
        </w:rPr>
        <w:t>For the summary statistic of a collection of texts, we count the frequency of excitement/ approach words (</w:t>
      </w:r>
      <w:r w:rsidR="00D17069" w:rsidRPr="002A7011">
        <w:rPr>
          <w:color w:val="000000"/>
          <w:position w:val="-12"/>
        </w:rPr>
        <w:object w:dxaOrig="10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5pt;height:18.15pt" o:ole="">
            <v:imagedata r:id="rId9" o:title=""/>
          </v:shape>
          <o:OLEObject Type="Embed" ProgID="Equation.DSMT4" ShapeID="_x0000_i1025" DrawAspect="Content" ObjectID="_1707118124" r:id="rId10"/>
        </w:object>
      </w:r>
      <w:r w:rsidRPr="002A7011">
        <w:rPr>
          <w:color w:val="000000"/>
        </w:rPr>
        <w:t>) and anxiety/avoidance words (</w:t>
      </w:r>
      <w:r w:rsidR="00D17069" w:rsidRPr="002A7011">
        <w:rPr>
          <w:color w:val="000000"/>
          <w:position w:val="-12"/>
          <w:sz w:val="36"/>
          <w:szCs w:val="36"/>
          <w:vertAlign w:val="subscript"/>
        </w:rPr>
        <w:object w:dxaOrig="1140" w:dyaOrig="360">
          <v:shape id="_x0000_i1026" type="#_x0000_t75" style="width:56.95pt;height:18.15pt" o:ole="">
            <v:imagedata r:id="rId11" o:title=""/>
          </v:shape>
          <o:OLEObject Type="Embed" ProgID="Equation.DSMT4" ShapeID="_x0000_i1026" DrawAspect="Content" ObjectID="_1707118125" r:id="rId12"/>
        </w:object>
      </w:r>
      <w:r w:rsidRPr="002A7011">
        <w:rPr>
          <w:color w:val="000000"/>
        </w:rPr>
        <w:t>) and then scale these numbers by the total number of words per period (</w:t>
      </w:r>
      <w:r w:rsidR="00D17069" w:rsidRPr="002A7011">
        <w:rPr>
          <w:color w:val="000000"/>
          <w:position w:val="-12"/>
        </w:rPr>
        <w:object w:dxaOrig="300" w:dyaOrig="360">
          <v:shape id="_x0000_i1027" type="#_x0000_t75" style="width:15.05pt;height:18.15pt" o:ole="">
            <v:imagedata r:id="rId13" o:title=""/>
          </v:shape>
          <o:OLEObject Type="Embed" ProgID="Equation.DSMT4" ShapeID="_x0000_i1027" DrawAspect="Content" ObjectID="_1707118126" r:id="rId14"/>
        </w:object>
      </w:r>
      <w:r w:rsidRPr="002A7011">
        <w:rPr>
          <w:color w:val="000000"/>
        </w:rPr>
        <w:t>). To arrive at a single statistic, we subtract the avoidance statistic from the approach statistic as in [1]. Data are collected at daily frequency but collated at the monthly frequency to ensure a higher signal to noise ratio. The formula for the construction of business-sentiment is</w:t>
      </w:r>
    </w:p>
    <w:p w:rsidR="00222F36" w:rsidRPr="002A7011" w:rsidRDefault="000B682F">
      <w:pPr>
        <w:pBdr>
          <w:top w:val="nil"/>
          <w:left w:val="nil"/>
          <w:bottom w:val="nil"/>
          <w:right w:val="nil"/>
          <w:between w:val="nil"/>
        </w:pBdr>
        <w:tabs>
          <w:tab w:val="center" w:pos="5640"/>
          <w:tab w:val="right" w:pos="9120"/>
        </w:tabs>
        <w:spacing w:after="160"/>
        <w:ind w:left="2160" w:hanging="2160"/>
        <w:rPr>
          <w:rFonts w:ascii="Arial" w:eastAsia="Arial" w:hAnsi="Arial" w:cs="Arial"/>
          <w:color w:val="000000"/>
        </w:rPr>
      </w:pPr>
      <w:r w:rsidRPr="002A7011">
        <w:rPr>
          <w:rFonts w:ascii="Arial" w:eastAsia="Arial" w:hAnsi="Arial" w:cs="Arial"/>
          <w:color w:val="000000"/>
        </w:rPr>
        <w:tab/>
      </w:r>
      <w:r w:rsidRPr="002A7011">
        <w:rPr>
          <w:rFonts w:ascii="Arial" w:eastAsia="Arial" w:hAnsi="Arial" w:cs="Arial"/>
          <w:color w:val="000000"/>
          <w:sz w:val="36"/>
          <w:szCs w:val="36"/>
          <w:vertAlign w:val="subscript"/>
        </w:rPr>
        <w:object w:dxaOrig="3380" w:dyaOrig="730" w14:anchorId="407F96BC">
          <v:shape id="_x0000_i1028" type="#_x0000_t75" style="width:169.05pt;height:36.3pt" o:ole="">
            <v:imagedata r:id="rId15" o:title=""/>
          </v:shape>
          <o:OLEObject Type="Embed" ProgID="Equation.DSMT4" ShapeID="_x0000_i1028" DrawAspect="Content" ObjectID="_1707118127" r:id="rId16"/>
        </w:object>
      </w:r>
      <w:r w:rsidRPr="002A7011">
        <w:rPr>
          <w:rFonts w:ascii="Arial" w:eastAsia="Arial" w:hAnsi="Arial" w:cs="Arial"/>
          <w:color w:val="000000"/>
        </w:rPr>
        <w:tab/>
        <w:t xml:space="preserve">                         </w:t>
      </w:r>
      <w:r w:rsidRPr="002A7011">
        <w:rPr>
          <w:color w:val="000000"/>
        </w:rPr>
        <w:t>[1]</w:t>
      </w:r>
      <w:r w:rsidRPr="002A7011">
        <w:rPr>
          <w:rFonts w:ascii="Arial" w:eastAsia="Arial" w:hAnsi="Arial" w:cs="Arial"/>
          <w:color w:val="000000"/>
        </w:rPr>
        <w:tab/>
      </w:r>
    </w:p>
    <w:p w:rsidR="00222F36" w:rsidRPr="002A7011" w:rsidRDefault="00222F36">
      <w:bookmarkStart w:id="2" w:name="bookmark=id.1fob9te" w:colFirst="0" w:colLast="0"/>
      <w:bookmarkStart w:id="3" w:name="bookmark=id.3znysh7" w:colFirst="0" w:colLast="0"/>
      <w:bookmarkEnd w:id="2"/>
      <w:bookmarkEnd w:id="3"/>
    </w:p>
    <w:p w:rsidR="00222F36" w:rsidRPr="002A7011" w:rsidRDefault="000B682F">
      <w:pPr>
        <w:spacing w:line="480" w:lineRule="auto"/>
        <w:ind w:firstLine="720"/>
      </w:pPr>
      <w:r w:rsidRPr="002A7011">
        <w:t xml:space="preserve">During the period of 1920 –1934, there is some variation in the number of words published in a month (see </w:t>
      </w:r>
      <w:r w:rsidR="001B668F" w:rsidRPr="002A7011">
        <w:t>online</w:t>
      </w:r>
      <w:r w:rsidRPr="002A7011">
        <w:t xml:space="preserve"> appendix). On average, there are</w:t>
      </w:r>
      <w:r w:rsidR="001B668F" w:rsidRPr="002A7011">
        <w:t xml:space="preserve"> 945 digitized items</w:t>
      </w:r>
      <w:r w:rsidRPr="002A7011">
        <w:t xml:space="preserve"> containing sentiment per month</w:t>
      </w:r>
      <w:r w:rsidR="001B668F" w:rsidRPr="002A7011">
        <w:t xml:space="preserve"> and these items account for an average of 46 percent of all words analysed</w:t>
      </w:r>
      <w:r w:rsidRPr="002A7011">
        <w:t xml:space="preserve">. One issue that may lessen the accuracy of our algorithm in capturing business-sentiment is that the modern lexicon we use may not match the language typically used in this period. This issue is partially negated as we use two counterbalancing lists of words, which should be equally affected by any such bias. Furthermore, Manela and Moreira </w:t>
      </w:r>
      <w:r w:rsidRPr="002A7011">
        <w:lastRenderedPageBreak/>
        <w:t>demonstrate that modern lexicons can be successfully used to measure ‘news implied volatility- NVIX’ back to 1889.</w:t>
      </w:r>
      <w:r w:rsidRPr="002A7011">
        <w:rPr>
          <w:vertAlign w:val="superscript"/>
        </w:rPr>
        <w:footnoteReference w:id="25"/>
      </w:r>
      <w:r w:rsidRPr="002A7011">
        <w:t xml:space="preserve"> </w:t>
      </w:r>
    </w:p>
    <w:p w:rsidR="00222F36" w:rsidRPr="002A7011" w:rsidRDefault="00222F36">
      <w:pPr>
        <w:spacing w:line="480" w:lineRule="auto"/>
        <w:ind w:firstLine="720"/>
        <w:rPr>
          <w:color w:val="000000"/>
        </w:rPr>
      </w:pPr>
    </w:p>
    <w:p w:rsidR="00222F36" w:rsidRPr="002A7011" w:rsidRDefault="000B682F">
      <w:pPr>
        <w:keepNext/>
        <w:pBdr>
          <w:top w:val="nil"/>
          <w:left w:val="nil"/>
          <w:bottom w:val="nil"/>
          <w:right w:val="nil"/>
          <w:between w:val="nil"/>
        </w:pBdr>
        <w:spacing w:after="200"/>
        <w:jc w:val="center"/>
        <w:rPr>
          <w:b/>
          <w:color w:val="000000"/>
        </w:rPr>
      </w:pPr>
      <w:r w:rsidRPr="002A7011">
        <w:rPr>
          <w:b/>
          <w:color w:val="000000"/>
        </w:rPr>
        <w:t>Figure 1:</w:t>
      </w:r>
      <w:r w:rsidRPr="002A7011">
        <w:rPr>
          <w:color w:val="000000"/>
        </w:rPr>
        <w:t xml:space="preserve"> </w:t>
      </w:r>
      <w:r w:rsidRPr="002A7011">
        <w:rPr>
          <w:b/>
          <w:color w:val="000000"/>
        </w:rPr>
        <w:t>Index of Business-sentiment f</w:t>
      </w:r>
      <w:r w:rsidR="001B668F" w:rsidRPr="002A7011">
        <w:rPr>
          <w:b/>
          <w:color w:val="000000"/>
        </w:rPr>
        <w:t>or the Wall Street Journal (1920</w:t>
      </w:r>
      <w:r w:rsidRPr="002A7011">
        <w:rPr>
          <w:b/>
          <w:color w:val="000000"/>
        </w:rPr>
        <w:t xml:space="preserve"> – 1934)</w:t>
      </w:r>
    </w:p>
    <w:p w:rsidR="00222F36" w:rsidRPr="002A7011" w:rsidRDefault="006C3679">
      <w:pPr>
        <w:keepNext/>
        <w:pBdr>
          <w:top w:val="nil"/>
          <w:left w:val="nil"/>
          <w:bottom w:val="nil"/>
          <w:right w:val="nil"/>
          <w:between w:val="nil"/>
        </w:pBdr>
        <w:spacing w:after="200"/>
        <w:jc w:val="center"/>
        <w:rPr>
          <w:color w:val="000000"/>
        </w:rPr>
      </w:pPr>
      <w:r w:rsidRPr="002A7011">
        <w:rPr>
          <w:noProof/>
          <w:color w:val="000000"/>
          <w:lang w:eastAsia="en-GB"/>
        </w:rPr>
        <w:drawing>
          <wp:inline distT="0" distB="0" distL="0" distR="0">
            <wp:extent cx="4565650" cy="27368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5650" cy="2736850"/>
                    </a:xfrm>
                    <a:prstGeom prst="rect">
                      <a:avLst/>
                    </a:prstGeom>
                    <a:noFill/>
                    <a:ln>
                      <a:noFill/>
                    </a:ln>
                  </pic:spPr>
                </pic:pic>
              </a:graphicData>
            </a:graphic>
          </wp:inline>
        </w:drawing>
      </w:r>
    </w:p>
    <w:p w:rsidR="00222F36" w:rsidRPr="002A7011" w:rsidRDefault="000B682F">
      <w:pPr>
        <w:pBdr>
          <w:top w:val="single" w:sz="4" w:space="1" w:color="000000"/>
        </w:pBdr>
        <w:rPr>
          <w:sz w:val="20"/>
          <w:szCs w:val="20"/>
        </w:rPr>
      </w:pPr>
      <w:r w:rsidRPr="002A7011">
        <w:rPr>
          <w:sz w:val="20"/>
          <w:szCs w:val="20"/>
        </w:rPr>
        <w:t xml:space="preserve">* </w:t>
      </w:r>
      <w:r w:rsidRPr="002A7011">
        <w:rPr>
          <w:sz w:val="16"/>
          <w:szCs w:val="16"/>
        </w:rPr>
        <w:t xml:space="preserve">The series depicted is constructed using [1] and reflects the difference between approach and avoidance words in articles appearing in the WSJ. The series is calculated at a monthly frequency. The shaded regions are NBER recession dates. </w:t>
      </w:r>
      <w:r w:rsidRPr="002A7011">
        <w:rPr>
          <w:sz w:val="20"/>
          <w:szCs w:val="20"/>
        </w:rPr>
        <w:t xml:space="preserve"> </w:t>
      </w:r>
    </w:p>
    <w:p w:rsidR="00222F36" w:rsidRPr="002A7011" w:rsidRDefault="00222F36">
      <w:pPr>
        <w:spacing w:line="480" w:lineRule="auto"/>
        <w:ind w:firstLine="720"/>
        <w:jc w:val="center"/>
      </w:pPr>
    </w:p>
    <w:p w:rsidR="006C3679" w:rsidRPr="002A7011" w:rsidRDefault="006C3679" w:rsidP="006C3679">
      <w:pPr>
        <w:spacing w:line="480" w:lineRule="auto"/>
      </w:pPr>
      <w:r w:rsidRPr="002A7011">
        <w:t xml:space="preserve">Figure 1 reports the sentiment series obtained from the WSJ from 1920 to 1933 constructed using [1]. </w:t>
      </w:r>
      <w:r w:rsidRPr="002A7011">
        <w:rPr>
          <w:color w:val="000000"/>
        </w:rPr>
        <w:t xml:space="preserve">Some notable points in US history are clearly visible in Figure 1 and consistent with historical accounts of these periods. A major slide from 1929 through to 1934, at the deepest point of the Great Depression. It is striking that in the 1920s, two relatively mild NBER recessions (those beginning in May 1923 and October 1926) are both accompanied by large </w:t>
      </w:r>
      <w:r w:rsidRPr="002A7011">
        <w:rPr>
          <w:color w:val="000000"/>
        </w:rPr>
        <w:lastRenderedPageBreak/>
        <w:t>negative spikes in business-sentiment. With the Great Depression, after August 1929, business-sentiment follows the economy on its downward path.</w:t>
      </w:r>
    </w:p>
    <w:p w:rsidR="00222F36" w:rsidRPr="002A7011" w:rsidRDefault="000B682F">
      <w:pPr>
        <w:spacing w:line="480" w:lineRule="auto"/>
        <w:ind w:firstLine="720"/>
      </w:pPr>
      <w:r w:rsidRPr="002A7011">
        <w:t>As a robustness check of the WSJ data as compared to other financial and business news sources of this period, we use the Commercial and Financial Chronicle - a popular weekly financial news source based in New York. These news article data are gathered from the Federal Reserve Bank of St Louis - FRED database. The correlation between the business-sentiment indexes from the CFC and WSJ from 1907-1934 is 0.74 indicating that the WSJ business-sentiment index captures consistent information on the economy and financial markets that is not specific to the WSJ. Another alternative news source is the sentiment index of Garcia, who uses a different lexicon to construct a sentiment index based on two columns that were regularly published in the NYT. Our sentiment index has a correlation of 0.57 with that of Garcia, which is not surprising since the columns that are followed focus on financial markets rather than business and finance.</w:t>
      </w:r>
      <w:r w:rsidRPr="002A7011">
        <w:rPr>
          <w:vertAlign w:val="superscript"/>
        </w:rPr>
        <w:footnoteReference w:id="26"/>
      </w:r>
      <w:r w:rsidRPr="002A7011">
        <w:t xml:space="preserve">  </w:t>
      </w:r>
    </w:p>
    <w:p w:rsidR="00222F36" w:rsidRPr="002A7011" w:rsidRDefault="000B682F">
      <w:pPr>
        <w:spacing w:line="480" w:lineRule="auto"/>
      </w:pPr>
      <w:bookmarkStart w:id="4" w:name="_heading=h.2et92p0" w:colFirst="0" w:colLast="0"/>
      <w:bookmarkEnd w:id="4"/>
      <w:r w:rsidRPr="002A7011">
        <w:tab/>
        <w:t xml:space="preserve"> The WSJ is one source of financial information that agents used during this period. The WSJ had an estimated 7,000 readers in 1902, climbing to 50,000 by the end of the 1920s. It can be seen as a good source of information for financial market and business professionals, rather than a general readership.</w:t>
      </w:r>
      <w:r w:rsidRPr="002A7011">
        <w:rPr>
          <w:vertAlign w:val="superscript"/>
        </w:rPr>
        <w:footnoteReference w:id="27"/>
      </w:r>
      <w:r w:rsidRPr="002A7011">
        <w:t xml:space="preserve"> An alternative source of information that agents read during this period was the NYT. The NYT, however, reports on events other than business and the financial markets, whereas the WSJ is a more specialized publication. </w:t>
      </w:r>
      <w:r w:rsidRPr="002A7011">
        <w:lastRenderedPageBreak/>
        <w:t xml:space="preserve">Using [1], we construct a business-sentiment series based on articles from the NYT in addition to the business-sentiment series constructed from the WSJ. A priori, there is no expectation that the two business-sentiment series would contain the same information and in our analyses, reported below, we include both series. The business-sentiment series constructed from both the WSJ and the NYT are reported in Figure 2. It is clear from inspection of the figure that the information obtained from the WSJ is different from the information obtained from the NYT. In particular, the business-sentiment obtained from the WSJ, declines at a faster rate than the NYT from 1928 to 1932. </w:t>
      </w:r>
    </w:p>
    <w:p w:rsidR="00222F36" w:rsidRPr="002A7011" w:rsidRDefault="000B682F">
      <w:pPr>
        <w:spacing w:line="480" w:lineRule="auto"/>
        <w:ind w:firstLine="720"/>
      </w:pPr>
      <w:r w:rsidRPr="002A7011">
        <w:t>It should be noted that there are several other approaches to measure business-sentiment. A notable approach is that of Loughran and McDonald (LM).</w:t>
      </w:r>
      <w:r w:rsidRPr="002A7011">
        <w:rPr>
          <w:vertAlign w:val="superscript"/>
        </w:rPr>
        <w:footnoteReference w:id="28"/>
      </w:r>
      <w:r w:rsidRPr="002A7011">
        <w:t xml:space="preserve"> This index has been used widely as a benchmark and as a way of measuring business-sentiment in financial news text analysis, most recently in Calomiris and Mamysky.</w:t>
      </w:r>
      <w:r w:rsidRPr="002A7011">
        <w:rPr>
          <w:vertAlign w:val="superscript"/>
        </w:rPr>
        <w:footnoteReference w:id="29"/>
      </w:r>
      <w:r w:rsidRPr="002A7011">
        <w:rPr>
          <w:vertAlign w:val="superscript"/>
        </w:rPr>
        <w:t xml:space="preserve"> </w:t>
      </w:r>
      <w:r w:rsidRPr="002A7011">
        <w:t>This lexicon comprises 2355 negative and 354 positive words and is more tailored to financial reports. As a robustness check, we also construct a business-sentiment series using the lexicon of words from Loughran and McDonald (LM).</w:t>
      </w:r>
    </w:p>
    <w:p w:rsidR="00222F36" w:rsidRPr="002A7011" w:rsidRDefault="00222F36">
      <w:pPr>
        <w:spacing w:line="480" w:lineRule="auto"/>
        <w:ind w:firstLine="720"/>
      </w:pPr>
    </w:p>
    <w:p w:rsidR="00222F36" w:rsidRPr="002A7011" w:rsidRDefault="000B682F">
      <w:pPr>
        <w:keepNext/>
        <w:pBdr>
          <w:top w:val="nil"/>
          <w:left w:val="nil"/>
          <w:bottom w:val="nil"/>
          <w:right w:val="nil"/>
          <w:between w:val="nil"/>
        </w:pBdr>
        <w:spacing w:after="200"/>
        <w:jc w:val="center"/>
        <w:rPr>
          <w:b/>
          <w:color w:val="000000"/>
        </w:rPr>
      </w:pPr>
      <w:r w:rsidRPr="002A7011">
        <w:rPr>
          <w:b/>
          <w:color w:val="000000"/>
        </w:rPr>
        <w:lastRenderedPageBreak/>
        <w:t>Figure 2: Comparison of Business-sentiment constructed from WSJ and NYT.</w:t>
      </w:r>
    </w:p>
    <w:p w:rsidR="00222F36" w:rsidRPr="002A7011" w:rsidRDefault="000B682F">
      <w:pPr>
        <w:jc w:val="center"/>
      </w:pPr>
      <w:r w:rsidRPr="002A7011">
        <w:rPr>
          <w:noProof/>
          <w:lang w:eastAsia="en-GB"/>
        </w:rPr>
        <w:drawing>
          <wp:inline distT="0" distB="0" distL="0" distR="0">
            <wp:extent cx="4561205" cy="2732405"/>
            <wp:effectExtent l="0" t="0" r="0" b="0"/>
            <wp:docPr id="67"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18"/>
                    <a:srcRect/>
                    <a:stretch>
                      <a:fillRect/>
                    </a:stretch>
                  </pic:blipFill>
                  <pic:spPr>
                    <a:xfrm>
                      <a:off x="0" y="0"/>
                      <a:ext cx="4561205" cy="2732405"/>
                    </a:xfrm>
                    <a:prstGeom prst="rect">
                      <a:avLst/>
                    </a:prstGeom>
                    <a:ln/>
                  </pic:spPr>
                </pic:pic>
              </a:graphicData>
            </a:graphic>
          </wp:inline>
        </w:drawing>
      </w:r>
    </w:p>
    <w:p w:rsidR="00222F36" w:rsidRPr="002A7011" w:rsidRDefault="000B682F">
      <w:pPr>
        <w:pBdr>
          <w:top w:val="single" w:sz="4" w:space="1" w:color="000000"/>
        </w:pBdr>
        <w:rPr>
          <w:sz w:val="20"/>
          <w:szCs w:val="20"/>
        </w:rPr>
      </w:pPr>
      <w:r w:rsidRPr="002A7011">
        <w:rPr>
          <w:sz w:val="20"/>
          <w:szCs w:val="20"/>
        </w:rPr>
        <w:t xml:space="preserve">* </w:t>
      </w:r>
      <w:r w:rsidRPr="002A7011">
        <w:rPr>
          <w:sz w:val="16"/>
          <w:szCs w:val="16"/>
        </w:rPr>
        <w:t>The solid line represents the sentiment series obtained from the WSJ and the dashed line represents the sentiment series obtained from the NYT. The left hand axis is the scale for the WSJ sentiment series and the right hand axis contains the scale for the NYT sentiment series. The sentiment series is constructed using [1].</w:t>
      </w:r>
      <w:r w:rsidRPr="002A7011">
        <w:rPr>
          <w:sz w:val="20"/>
          <w:szCs w:val="20"/>
        </w:rPr>
        <w:t xml:space="preserve">  </w:t>
      </w:r>
    </w:p>
    <w:p w:rsidR="00222F36" w:rsidRPr="002A7011" w:rsidRDefault="00222F36"/>
    <w:p w:rsidR="00222F36" w:rsidRPr="002A7011" w:rsidRDefault="00222F36">
      <w:pPr>
        <w:spacing w:line="480" w:lineRule="auto"/>
      </w:pPr>
    </w:p>
    <w:p w:rsidR="00222F36" w:rsidRPr="002A7011" w:rsidRDefault="000B682F">
      <w:pPr>
        <w:keepNext/>
        <w:pBdr>
          <w:top w:val="nil"/>
          <w:left w:val="nil"/>
          <w:bottom w:val="nil"/>
          <w:right w:val="nil"/>
          <w:between w:val="nil"/>
        </w:pBdr>
        <w:spacing w:after="200"/>
        <w:jc w:val="center"/>
        <w:rPr>
          <w:b/>
          <w:color w:val="000000"/>
        </w:rPr>
      </w:pPr>
      <w:r w:rsidRPr="002A7011">
        <w:rPr>
          <w:b/>
          <w:color w:val="000000"/>
        </w:rPr>
        <w:t>Figure 3: Comparison of Business-sentiment from WSJ with Alternative Loughran and McDonald Series</w:t>
      </w:r>
    </w:p>
    <w:p w:rsidR="00222F36" w:rsidRPr="002A7011" w:rsidRDefault="000B682F">
      <w:pPr>
        <w:jc w:val="center"/>
      </w:pPr>
      <w:r w:rsidRPr="002A7011">
        <w:rPr>
          <w:noProof/>
          <w:lang w:eastAsia="en-GB"/>
        </w:rPr>
        <w:drawing>
          <wp:inline distT="0" distB="0" distL="0" distR="0">
            <wp:extent cx="4561205" cy="2732405"/>
            <wp:effectExtent l="0" t="0" r="0" b="0"/>
            <wp:docPr id="66"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19"/>
                    <a:srcRect/>
                    <a:stretch>
                      <a:fillRect/>
                    </a:stretch>
                  </pic:blipFill>
                  <pic:spPr>
                    <a:xfrm>
                      <a:off x="0" y="0"/>
                      <a:ext cx="4561205" cy="2732405"/>
                    </a:xfrm>
                    <a:prstGeom prst="rect">
                      <a:avLst/>
                    </a:prstGeom>
                    <a:ln/>
                  </pic:spPr>
                </pic:pic>
              </a:graphicData>
            </a:graphic>
          </wp:inline>
        </w:drawing>
      </w:r>
    </w:p>
    <w:p w:rsidR="00222F36" w:rsidRPr="002A7011" w:rsidRDefault="000B682F">
      <w:pPr>
        <w:pBdr>
          <w:top w:val="single" w:sz="4" w:space="1" w:color="000000"/>
        </w:pBdr>
        <w:rPr>
          <w:sz w:val="20"/>
          <w:szCs w:val="20"/>
        </w:rPr>
      </w:pPr>
      <w:r w:rsidRPr="002A7011">
        <w:rPr>
          <w:sz w:val="20"/>
          <w:szCs w:val="20"/>
        </w:rPr>
        <w:t xml:space="preserve">* </w:t>
      </w:r>
      <w:r w:rsidRPr="002A7011">
        <w:rPr>
          <w:sz w:val="16"/>
          <w:szCs w:val="16"/>
        </w:rPr>
        <w:t xml:space="preserve">The solid line represents the sentiment series obtained from the WSJ using the approach and avoidance lexicon while the dashed line represents the sentiment series obtained from the WSJ using the lexicon of Loughran and McDonald. </w:t>
      </w:r>
    </w:p>
    <w:p w:rsidR="00222F36" w:rsidRPr="002A7011" w:rsidRDefault="00222F36">
      <w:pPr>
        <w:spacing w:line="480" w:lineRule="auto"/>
      </w:pPr>
    </w:p>
    <w:p w:rsidR="00222F36" w:rsidRPr="002A7011" w:rsidRDefault="000B682F">
      <w:pPr>
        <w:spacing w:line="480" w:lineRule="auto"/>
      </w:pPr>
      <w:r w:rsidRPr="002A7011">
        <w:t>Figure 3 depicts the business-sentiment series that we construct using the approach/avoidance lexicon and the business-sentiment series constructed using the lexicon of words from</w:t>
      </w:r>
      <w:r w:rsidRPr="002A7011">
        <w:rPr>
          <w:color w:val="333333"/>
        </w:rPr>
        <w:t xml:space="preserve"> LM</w:t>
      </w:r>
      <w:r w:rsidRPr="002A7011">
        <w:t xml:space="preserve">. While the two series depicted show similar patterns, there are some noticeable differences. One noticeable difference is that the underlying trend in the business-sentiment that we construct turns negative earlier in 1928 than the underlying trend in the business-sentiment series constructed using the lexicon of words from LM. The differences in the two series show that the WSJ derived sentiment series moves before the NYT derived sentiment series. Note that the NYT derived series is derived from all articles in the NYT and not just business and finance related articles. Our conjecture is that sentiment in non-business related news moves after sentiment in business and finance news. </w:t>
      </w:r>
    </w:p>
    <w:p w:rsidR="00222F36" w:rsidRPr="002A7011" w:rsidRDefault="000B682F">
      <w:pPr>
        <w:spacing w:line="480" w:lineRule="auto"/>
      </w:pPr>
      <w:r w:rsidRPr="002A7011">
        <w:tab/>
        <w:t xml:space="preserve">One thing to note is that the limitation of text based approaches is that there is no way to determine the cause of the sentiment of the writer. We can only observe the topic of the article and not the cause of the underlying emotion. A writer’s language can betray their emotion but not the root cause of their emotion. Thus, it is difficult to know what caused the turning point in the observed emotion from reading the articles alone. Analysis of the topics of articles during the period in which the sentiment series turn does not yield strong insights as to what caused the change in the trend of emotion. </w:t>
      </w:r>
    </w:p>
    <w:p w:rsidR="00222F36" w:rsidRPr="002A7011" w:rsidRDefault="00222F36"/>
    <w:p w:rsidR="006C3679" w:rsidRPr="002A7011" w:rsidRDefault="006C3679"/>
    <w:p w:rsidR="00222F36" w:rsidRPr="002A7011" w:rsidRDefault="000B682F">
      <w:pPr>
        <w:pStyle w:val="Heading1"/>
        <w:numPr>
          <w:ilvl w:val="0"/>
          <w:numId w:val="1"/>
        </w:numPr>
      </w:pPr>
      <w:r w:rsidRPr="002A7011">
        <w:lastRenderedPageBreak/>
        <w:t xml:space="preserve">Identification of the Impact of Business-sentiment on the Economy </w:t>
      </w:r>
    </w:p>
    <w:p w:rsidR="00222F36" w:rsidRPr="002A7011" w:rsidRDefault="00222F36"/>
    <w:p w:rsidR="00222F36" w:rsidRPr="002A7011" w:rsidRDefault="000B682F">
      <w:pPr>
        <w:spacing w:line="480" w:lineRule="auto"/>
      </w:pPr>
      <w:r w:rsidRPr="002A7011">
        <w:t>In order to determine the impact of business-sentiment on the real economy a vector error correction model is estimated that contains the following variables: the (natural) logarithm of industrial production (IP), the logarithm of the Standard and Poor’s 500 stock market index (SP), the logarithm of the secured bank loans (LOANS), the logarithm of the price level (CPI), the nominal interest rate (</w:t>
      </w:r>
      <w:r w:rsidRPr="002A7011">
        <w:object w:dxaOrig="410" w:dyaOrig="310">
          <v:shape id="_x0000_i1029" type="#_x0000_t75" alt="" style="width:20.65pt;height:15.65pt;mso-width-percent:0;mso-height-percent:0;mso-width-percent:0;mso-height-percent:0" o:ole="">
            <v:imagedata r:id="rId20" o:title=""/>
          </v:shape>
          <o:OLEObject Type="Embed" ProgID="Equation.DSMT4" ShapeID="_x0000_i1029" DrawAspect="Content" ObjectID="_1707118128" r:id="rId21"/>
        </w:object>
      </w:r>
      <w:r w:rsidRPr="002A7011">
        <w:t>), the term spread (</w:t>
      </w:r>
      <w:r w:rsidRPr="002A7011">
        <w:object w:dxaOrig="530" w:dyaOrig="310">
          <v:shape id="_x0000_i1030" type="#_x0000_t75" alt="" style="width:26.3pt;height:15.65pt;mso-width-percent:0;mso-height-percent:0;mso-width-percent:0;mso-height-percent:0" o:ole="">
            <v:imagedata r:id="rId22" o:title=""/>
          </v:shape>
          <o:OLEObject Type="Embed" ProgID="Equation.DSMT4" ShapeID="_x0000_i1030" DrawAspect="Content" ObjectID="_1707118129" r:id="rId23"/>
        </w:object>
      </w:r>
      <w:r w:rsidRPr="002A7011">
        <w:t>- the ten year rate minus the three month rate), the credit risk spread (</w:t>
      </w:r>
      <w:r w:rsidRPr="002A7011">
        <w:object w:dxaOrig="490" w:dyaOrig="310">
          <v:shape id="_x0000_i1031" type="#_x0000_t75" alt="" style="width:24.4pt;height:15.65pt;mso-width-percent:0;mso-height-percent:0;mso-width-percent:0;mso-height-percent:0" o:ole="">
            <v:imagedata r:id="rId24" o:title=""/>
          </v:shape>
          <o:OLEObject Type="Embed" ProgID="Equation.DSMT4" ShapeID="_x0000_i1031" DrawAspect="Content" ObjectID="_1707118130" r:id="rId25"/>
        </w:object>
      </w:r>
      <w:r w:rsidRPr="002A7011">
        <w:t>), a measure of economic policy uncertainty (EPU), and our measures of business-sentiment (S</w:t>
      </w:r>
      <w:r w:rsidRPr="002A7011">
        <w:rPr>
          <w:vertAlign w:val="superscript"/>
        </w:rPr>
        <w:t>NYT</w:t>
      </w:r>
      <w:r w:rsidRPr="002A7011">
        <w:t xml:space="preserve"> and S</w:t>
      </w:r>
      <w:r w:rsidRPr="002A7011">
        <w:rPr>
          <w:vertAlign w:val="superscript"/>
        </w:rPr>
        <w:t>WSJ</w:t>
      </w:r>
      <w:r w:rsidRPr="002A7011">
        <w:t>).</w:t>
      </w:r>
      <w:r w:rsidRPr="002A7011">
        <w:rPr>
          <w:vertAlign w:val="superscript"/>
        </w:rPr>
        <w:t xml:space="preserve"> </w:t>
      </w:r>
      <w:r w:rsidRPr="002A7011">
        <w:rPr>
          <w:vertAlign w:val="superscript"/>
        </w:rPr>
        <w:footnoteReference w:id="30"/>
      </w:r>
      <w:r w:rsidRPr="002A7011">
        <w:t xml:space="preserve"> The interest rates are the three month time-loan rates at New York banks and the credit risk spread is the spread between Moody’s seasoned Baa corporate bond yield less the long-term (over 10 years) Treasury composite yield. This credit risk spread is “an indicator of the strength of lender preferences for safe, liquid assets (and hence of the difficulty of  borrowers in obtaining funds) …”</w:t>
      </w:r>
      <w:r w:rsidRPr="002A7011">
        <w:rPr>
          <w:vertAlign w:val="superscript"/>
        </w:rPr>
        <w:footnoteReference w:id="31"/>
      </w:r>
      <w:r w:rsidRPr="002A7011">
        <w:t xml:space="preserve"> Time series for these </w:t>
      </w:r>
      <w:r w:rsidRPr="002A7011">
        <w:lastRenderedPageBreak/>
        <w:t xml:space="preserve">data are depicted in Figure A1 in the online Appendix together with the constructed business-sentiment data from the WSJ and the NYT. </w:t>
      </w:r>
    </w:p>
    <w:p w:rsidR="00222F36" w:rsidRPr="002A7011" w:rsidRDefault="000B682F">
      <w:pPr>
        <w:spacing w:line="480" w:lineRule="auto"/>
      </w:pPr>
      <w:r w:rsidRPr="002A7011">
        <w:tab/>
        <w:t xml:space="preserve">Industrial production is included in the model to incorporate the real side of the economy into the model. We include industrial production rather than GDP/GNP as industrial production is available at a monthly frequency while GDP/GNP is only available at a quarterly frequency at best. During this period, the service component of the US economy was not as large as it is today. We believe the benefit of estimating the model at the monthly frequency outweighs the loss of the information caused by using industrial production over GDP/GNP. </w:t>
      </w:r>
    </w:p>
    <w:p w:rsidR="00222F36" w:rsidRPr="002A7011" w:rsidRDefault="000B682F">
      <w:pPr>
        <w:spacing w:line="480" w:lineRule="auto"/>
      </w:pPr>
      <w:r w:rsidRPr="002A7011">
        <w:tab/>
        <w:t xml:space="preserve">Bank loans are also used in the model. Alternative specifications used M1 and M2. The results we obtained from these alternative specifications were qualitatively similar to the results presented here. Bank loans make up a large part of deposits and so the bank loans series contains similar information to M1 and M2. More importantly, the inclusion of bank loans allows us to model a channel for why business-sentiment affects output. Our hypothesis is that business-sentiment affects, at the margin, decisions to take out loans, which then impacts investment and finally output. As there is no reliable investment data for this period, we included bank loans instead.  </w:t>
      </w:r>
    </w:p>
    <w:p w:rsidR="00222F36" w:rsidRPr="002A7011" w:rsidRDefault="000B682F">
      <w:pPr>
        <w:spacing w:line="480" w:lineRule="auto"/>
      </w:pPr>
      <w:r w:rsidRPr="002A7011">
        <w:tab/>
        <w:t xml:space="preserve">There are two sources of news that we use. Our aim is to investigate the business-sentiment content of news from the WSJ as this news is focused on business, finance, and the economy. We include the information gathered from the NYT as well to control for general news, as this paper had a larger </w:t>
      </w:r>
      <w:r w:rsidRPr="002A7011">
        <w:lastRenderedPageBreak/>
        <w:t>circulation during this time.</w:t>
      </w:r>
      <w:r w:rsidRPr="002A7011">
        <w:rPr>
          <w:sz w:val="20"/>
          <w:szCs w:val="20"/>
        </w:rPr>
        <w:t xml:space="preserve"> </w:t>
      </w:r>
      <w:r w:rsidRPr="002A7011">
        <w:t>Circulation in December 1928, for instance, was 429,537.</w:t>
      </w:r>
      <w:r w:rsidRPr="002A7011">
        <w:rPr>
          <w:sz w:val="20"/>
          <w:szCs w:val="20"/>
        </w:rPr>
        <w:t xml:space="preserve"> </w:t>
      </w:r>
      <w:r w:rsidRPr="002A7011">
        <w:rPr>
          <w:vertAlign w:val="superscript"/>
        </w:rPr>
        <w:footnoteReference w:id="32"/>
      </w:r>
      <w:r w:rsidRPr="002A7011">
        <w:t xml:space="preserve"> </w:t>
      </w:r>
    </w:p>
    <w:p w:rsidR="00222F36" w:rsidRPr="002A7011" w:rsidRDefault="000B682F">
      <w:pPr>
        <w:spacing w:line="480" w:lineRule="auto"/>
      </w:pPr>
      <w:r w:rsidRPr="002A7011">
        <w:tab/>
        <w:t xml:space="preserve">The shock to business-sentiment is identified using an orthogonalized decomposition of the variance-covariance matrix obtained by estimating a vector error correction model (VECM). Note that we also estimated a vector autoregression (VAR) model in “levels” as a robustness check. The results from the VAR were qualitatively similar to the results from our preferred VEC specification. </w:t>
      </w:r>
    </w:p>
    <w:p w:rsidR="00222F36" w:rsidRPr="002A7011" w:rsidRDefault="000B682F">
      <w:pPr>
        <w:spacing w:line="480" w:lineRule="auto"/>
        <w:ind w:firstLine="720"/>
      </w:pPr>
      <w:r w:rsidRPr="002A7011">
        <w:t xml:space="preserve">The business-sentiment series constructed from the WSJ is ordered last in our model. This has a number of implications to the interpretation of the shocks that are identified. First, the business-sentiment shock is orthogonal to all other shocks in the model. That is, the business-sentiment shock is orthogonal to the shock to output, shock to the stock market, shock to bank loans, shock to the price level, shock to the short-term interest rate, shocks to the term and credit risk spreads, shock to economic policy uncertainty, and the shock to the sentiment obtained from the NYT. There is no structural interpretation to these shocks, but it is reasonable to expect that these shocks include aggregate demand and aggregate supply shocks, along with credit market and monetary shocks. </w:t>
      </w:r>
    </w:p>
    <w:p w:rsidR="00222F36" w:rsidRPr="002A7011" w:rsidRDefault="000B682F">
      <w:pPr>
        <w:spacing w:line="480" w:lineRule="auto"/>
      </w:pPr>
      <w:r w:rsidRPr="002A7011">
        <w:tab/>
        <w:t>As the business-sentiment variable is ordered last, the identified business-sentiment shock does not have an immediate impact on any of the variables in the econometric model. It is possible however that the business-</w:t>
      </w:r>
      <w:r w:rsidRPr="002A7011">
        <w:lastRenderedPageBreak/>
        <w:t>sentiment that is measured is contaminated by “news.” By ordering business-sentiment last, we are allowing the “news” contamination in measured sentiment to be filtered away leaving pure sentiment. Our reasoning is twofold: first, news about the economy is internalized in stock and credit markets. The business-sentiment shock that is identified is orthogonal to shocks to stock and credit markets. Second, the business-sentiment shock only affects the other variables in the system with a delay. Thus we are identifying shocks to the slow moving (or long-run component) of business-sentiment and not the short-run component. Our identification is that the long-run component of business-sentiment is not contaminated by non-business news.</w:t>
      </w:r>
    </w:p>
    <w:p w:rsidR="00222F36" w:rsidRPr="002A7011" w:rsidRDefault="000B682F">
      <w:pPr>
        <w:spacing w:line="480" w:lineRule="auto"/>
      </w:pPr>
      <w:r w:rsidRPr="002A7011">
        <w:tab/>
        <w:t xml:space="preserve">It should also be noted that the approach of using written text to identify sentiment cannot identify the original cause of the sentiment. There is no guarantee that the topic written about in the article is the cause of the underlying sentiment being betrayed by the author’s use of approach or avoidance words. </w:t>
      </w:r>
    </w:p>
    <w:p w:rsidR="00222F36" w:rsidRPr="002A7011" w:rsidRDefault="000B682F">
      <w:pPr>
        <w:spacing w:line="480" w:lineRule="auto"/>
      </w:pPr>
      <w:r w:rsidRPr="002A7011">
        <w:tab/>
        <w:t>The data used in our analysis all contain a unit root and the Johansen test for cointegration yields evidence of four cointegrating vectors. Information criteria suggest that the VECM should be estimated with one lag.</w:t>
      </w:r>
      <w:r w:rsidRPr="002A7011">
        <w:rPr>
          <w:vertAlign w:val="superscript"/>
        </w:rPr>
        <w:footnoteReference w:id="33"/>
      </w:r>
      <w:r w:rsidRPr="002A7011">
        <w:t xml:space="preserve"> The VECM was estimated with the variables ordered as listed above. Orthogonalized shocks are identified using a Cholesky decomposition of the residual variance-covariance matrix. Given the ordering, the business-sentiment shock obtained from the WSJ is interpreted as a “pure” business-sentiment shock after controlling for shocks to industrial production, the S&amp;P 500 stock market index, </w:t>
      </w:r>
      <w:r w:rsidRPr="002A7011">
        <w:lastRenderedPageBreak/>
        <w:t>bank loans, price level (CPI), interest rates (3 month), the term spread,  the risk-spread, economic policy uncertainty, and general news.</w:t>
      </w:r>
    </w:p>
    <w:p w:rsidR="00222F36" w:rsidRPr="002A7011" w:rsidRDefault="000B682F">
      <w:pPr>
        <w:spacing w:line="480" w:lineRule="auto"/>
      </w:pPr>
      <w:r w:rsidRPr="002A7011">
        <w:tab/>
        <w:t>The VECM was estimated using likelihood methods. The full results are available in an online appendix that is available upon request. The estimates show a stable long-run relationship between the time series with the business-sentiment series obtained from the WSJ have a positive and significant long-run relationship with industrial production, the S&amp;P 500 stock index, and bank loans.  The identified business-sentiment shock is depicted in Figure 4. The grey areas in the figure represent the NBER recession dates for this period.</w:t>
      </w:r>
    </w:p>
    <w:p w:rsidR="00222F36" w:rsidRPr="002A7011" w:rsidRDefault="000B682F">
      <w:pPr>
        <w:keepNext/>
        <w:jc w:val="center"/>
        <w:rPr>
          <w:b/>
        </w:rPr>
      </w:pPr>
      <w:r w:rsidRPr="002A7011">
        <w:rPr>
          <w:b/>
        </w:rPr>
        <w:t>Figure 4: Identified Business-Sentiment Shock</w:t>
      </w:r>
    </w:p>
    <w:p w:rsidR="00222F36" w:rsidRPr="002A7011" w:rsidRDefault="000B682F">
      <w:pPr>
        <w:jc w:val="center"/>
      </w:pPr>
      <w:r w:rsidRPr="002A7011">
        <w:rPr>
          <w:noProof/>
          <w:lang w:eastAsia="en-GB"/>
        </w:rPr>
        <w:drawing>
          <wp:inline distT="0" distB="0" distL="0" distR="0">
            <wp:extent cx="4561205" cy="2732405"/>
            <wp:effectExtent l="0" t="0" r="0" b="0"/>
            <wp:docPr id="68"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26"/>
                    <a:srcRect/>
                    <a:stretch>
                      <a:fillRect/>
                    </a:stretch>
                  </pic:blipFill>
                  <pic:spPr>
                    <a:xfrm>
                      <a:off x="0" y="0"/>
                      <a:ext cx="4561205" cy="2732405"/>
                    </a:xfrm>
                    <a:prstGeom prst="rect">
                      <a:avLst/>
                    </a:prstGeom>
                    <a:ln/>
                  </pic:spPr>
                </pic:pic>
              </a:graphicData>
            </a:graphic>
          </wp:inline>
        </w:drawing>
      </w:r>
    </w:p>
    <w:p w:rsidR="00222F36" w:rsidRPr="002A7011" w:rsidRDefault="000B682F">
      <w:pPr>
        <w:pBdr>
          <w:top w:val="single" w:sz="4" w:space="1" w:color="000000"/>
        </w:pBdr>
        <w:rPr>
          <w:sz w:val="20"/>
          <w:szCs w:val="20"/>
        </w:rPr>
      </w:pPr>
      <w:r w:rsidRPr="002A7011">
        <w:rPr>
          <w:sz w:val="20"/>
          <w:szCs w:val="20"/>
        </w:rPr>
        <w:t xml:space="preserve">* </w:t>
      </w:r>
      <w:r w:rsidRPr="002A7011">
        <w:rPr>
          <w:sz w:val="16"/>
          <w:szCs w:val="16"/>
        </w:rPr>
        <w:t xml:space="preserve">The solid line represents the identified (orthogonalized) business-sentiment shock obtained from ordering the WSJ sentiment series last in a ten variable vector error correction model. The shaded regions represent NBER recessions. </w:t>
      </w:r>
    </w:p>
    <w:p w:rsidR="00222F36" w:rsidRPr="002A7011" w:rsidRDefault="00222F36">
      <w:pPr>
        <w:spacing w:line="480" w:lineRule="auto"/>
      </w:pPr>
    </w:p>
    <w:p w:rsidR="00222F36" w:rsidRPr="002A7011" w:rsidRDefault="000B682F">
      <w:pPr>
        <w:spacing w:line="480" w:lineRule="auto"/>
      </w:pPr>
      <w:r w:rsidRPr="002A7011">
        <w:t xml:space="preserve"> </w:t>
      </w:r>
      <w:r w:rsidRPr="002A7011">
        <w:tab/>
        <w:t xml:space="preserve">Table 1 reports the forecast error variance decomposition (FEVD) for each variable to a one standard deviation shock to business-sentiment. The results show that the identified business-sentiment shock accounts for up to sixteen percent of the forecast error variance for industrial production over the </w:t>
      </w:r>
      <w:r w:rsidRPr="002A7011">
        <w:lastRenderedPageBreak/>
        <w:t>medium to long term (20 months), of up to two and a half percent of the forecast error variance for the S&amp;P 500 stock index, of up to twelve percent of the forecast error variance of bank loans, and up to three and a half percent of the forecast error variance of the credit risk spread.</w:t>
      </w:r>
    </w:p>
    <w:p w:rsidR="00222F36" w:rsidRPr="002A7011" w:rsidRDefault="00222F36">
      <w:pPr>
        <w:spacing w:line="480" w:lineRule="auto"/>
      </w:pPr>
    </w:p>
    <w:p w:rsidR="00222F36" w:rsidRPr="002A7011" w:rsidRDefault="00222F36">
      <w:pPr>
        <w:spacing w:line="480" w:lineRule="auto"/>
      </w:pPr>
    </w:p>
    <w:p w:rsidR="00222F36" w:rsidRPr="002A7011" w:rsidRDefault="00222F36">
      <w:pPr>
        <w:spacing w:line="480" w:lineRule="auto"/>
      </w:pPr>
    </w:p>
    <w:p w:rsidR="00222F36" w:rsidRPr="002A7011" w:rsidRDefault="00222F36">
      <w:pPr>
        <w:spacing w:line="480" w:lineRule="auto"/>
      </w:pPr>
    </w:p>
    <w:p w:rsidR="00222F36" w:rsidRPr="002A7011" w:rsidRDefault="000B682F">
      <w:pPr>
        <w:spacing w:line="480" w:lineRule="auto"/>
        <w:jc w:val="center"/>
        <w:rPr>
          <w:b/>
        </w:rPr>
      </w:pPr>
      <w:r w:rsidRPr="002A7011">
        <w:rPr>
          <w:b/>
        </w:rPr>
        <w:t>Table 1: Forecast Error Variance Decomposition of a Shock to Business</w:t>
      </w:r>
      <w:r w:rsidRPr="002A7011">
        <w:t xml:space="preserve">     </w:t>
      </w:r>
      <w:r w:rsidRPr="002A7011">
        <w:rPr>
          <w:b/>
        </w:rPr>
        <w:t xml:space="preserve">Sentiment </w:t>
      </w:r>
    </w:p>
    <w:tbl>
      <w:tblPr>
        <w:tblStyle w:val="a0"/>
        <w:tblW w:w="7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
        <w:gridCol w:w="761"/>
        <w:gridCol w:w="708"/>
        <w:gridCol w:w="680"/>
        <w:gridCol w:w="661"/>
        <w:gridCol w:w="661"/>
        <w:gridCol w:w="661"/>
        <w:gridCol w:w="661"/>
        <w:gridCol w:w="661"/>
        <w:gridCol w:w="670"/>
        <w:gridCol w:w="680"/>
      </w:tblGrid>
      <w:tr w:rsidR="00222F36" w:rsidRPr="002A7011">
        <w:trPr>
          <w:trHeight w:val="288"/>
        </w:trPr>
        <w:tc>
          <w:tcPr>
            <w:tcW w:w="776" w:type="dxa"/>
            <w:tcBorders>
              <w:top w:val="nil"/>
              <w:left w:val="nil"/>
              <w:bottom w:val="single" w:sz="4" w:space="0" w:color="000000"/>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Period</w:t>
            </w:r>
          </w:p>
        </w:tc>
        <w:tc>
          <w:tcPr>
            <w:tcW w:w="761" w:type="dxa"/>
            <w:tcBorders>
              <w:top w:val="nil"/>
              <w:left w:val="nil"/>
              <w:bottom w:val="single" w:sz="4" w:space="0" w:color="000000"/>
              <w:right w:val="nil"/>
            </w:tcBorders>
            <w:shd w:val="clear" w:color="auto" w:fill="auto"/>
            <w:vAlign w:val="center"/>
          </w:tcPr>
          <w:p w:rsidR="00222F36" w:rsidRPr="002A7011" w:rsidRDefault="000B682F">
            <w:pPr>
              <w:spacing w:line="240" w:lineRule="auto"/>
              <w:jc w:val="center"/>
              <w:rPr>
                <w:i/>
                <w:color w:val="000000"/>
              </w:rPr>
            </w:pPr>
            <w:r w:rsidRPr="002A7011">
              <w:rPr>
                <w:i/>
                <w:color w:val="000000"/>
              </w:rPr>
              <w:t>ip</w:t>
            </w:r>
          </w:p>
        </w:tc>
        <w:tc>
          <w:tcPr>
            <w:tcW w:w="708" w:type="dxa"/>
            <w:tcBorders>
              <w:top w:val="nil"/>
              <w:left w:val="nil"/>
              <w:bottom w:val="single" w:sz="4" w:space="0" w:color="000000"/>
              <w:right w:val="nil"/>
            </w:tcBorders>
            <w:shd w:val="clear" w:color="auto" w:fill="auto"/>
            <w:vAlign w:val="center"/>
          </w:tcPr>
          <w:p w:rsidR="00222F36" w:rsidRPr="002A7011" w:rsidRDefault="000B682F">
            <w:pPr>
              <w:spacing w:line="240" w:lineRule="auto"/>
              <w:jc w:val="center"/>
              <w:rPr>
                <w:i/>
                <w:color w:val="000000"/>
              </w:rPr>
            </w:pPr>
            <w:r w:rsidRPr="002A7011">
              <w:rPr>
                <w:i/>
                <w:color w:val="000000"/>
              </w:rPr>
              <w:t>sp500</w:t>
            </w:r>
          </w:p>
        </w:tc>
        <w:tc>
          <w:tcPr>
            <w:tcW w:w="680" w:type="dxa"/>
            <w:tcBorders>
              <w:top w:val="nil"/>
              <w:left w:val="nil"/>
              <w:bottom w:val="single" w:sz="4" w:space="0" w:color="000000"/>
              <w:right w:val="nil"/>
            </w:tcBorders>
            <w:shd w:val="clear" w:color="auto" w:fill="auto"/>
            <w:vAlign w:val="center"/>
          </w:tcPr>
          <w:p w:rsidR="00222F36" w:rsidRPr="002A7011" w:rsidRDefault="000B682F">
            <w:pPr>
              <w:spacing w:line="240" w:lineRule="auto"/>
              <w:jc w:val="center"/>
              <w:rPr>
                <w:i/>
                <w:color w:val="000000"/>
              </w:rPr>
            </w:pPr>
            <w:r w:rsidRPr="002A7011">
              <w:rPr>
                <w:i/>
                <w:color w:val="000000"/>
              </w:rPr>
              <w:t>loans</w:t>
            </w:r>
          </w:p>
        </w:tc>
        <w:tc>
          <w:tcPr>
            <w:tcW w:w="661" w:type="dxa"/>
            <w:tcBorders>
              <w:top w:val="nil"/>
              <w:left w:val="nil"/>
              <w:bottom w:val="single" w:sz="4" w:space="0" w:color="000000"/>
              <w:right w:val="nil"/>
            </w:tcBorders>
            <w:shd w:val="clear" w:color="auto" w:fill="auto"/>
            <w:vAlign w:val="center"/>
          </w:tcPr>
          <w:p w:rsidR="00222F36" w:rsidRPr="002A7011" w:rsidRDefault="000B682F">
            <w:pPr>
              <w:spacing w:line="240" w:lineRule="auto"/>
              <w:jc w:val="center"/>
              <w:rPr>
                <w:i/>
                <w:color w:val="000000"/>
              </w:rPr>
            </w:pPr>
            <w:r w:rsidRPr="002A7011">
              <w:rPr>
                <w:i/>
                <w:color w:val="000000"/>
              </w:rPr>
              <w:t>p</w:t>
            </w:r>
          </w:p>
        </w:tc>
        <w:tc>
          <w:tcPr>
            <w:tcW w:w="661" w:type="dxa"/>
            <w:tcBorders>
              <w:top w:val="nil"/>
              <w:left w:val="nil"/>
              <w:bottom w:val="single" w:sz="4" w:space="0" w:color="000000"/>
              <w:right w:val="nil"/>
            </w:tcBorders>
            <w:shd w:val="clear" w:color="auto" w:fill="auto"/>
            <w:vAlign w:val="center"/>
          </w:tcPr>
          <w:p w:rsidR="00222F36" w:rsidRPr="002A7011" w:rsidRDefault="000B682F">
            <w:pPr>
              <w:spacing w:line="240" w:lineRule="auto"/>
              <w:jc w:val="center"/>
              <w:rPr>
                <w:color w:val="000000"/>
              </w:rPr>
            </w:pPr>
            <w:r w:rsidRPr="002A7011">
              <w:rPr>
                <w:color w:val="000000"/>
                <w:sz w:val="24"/>
                <w:szCs w:val="24"/>
              </w:rPr>
              <w:object w:dxaOrig="360" w:dyaOrig="250">
                <v:shape id="_x0000_i1032" type="#_x0000_t75" style="width:18.15pt;height:12.5pt" o:ole="">
                  <v:imagedata r:id="rId27" o:title=""/>
                </v:shape>
                <o:OLEObject Type="Embed" ProgID="Equation.DSMT4" ShapeID="_x0000_i1032" DrawAspect="Content" ObjectID="_1707118131" r:id="rId28"/>
              </w:object>
            </w:r>
          </w:p>
        </w:tc>
        <w:tc>
          <w:tcPr>
            <w:tcW w:w="661" w:type="dxa"/>
            <w:tcBorders>
              <w:top w:val="nil"/>
              <w:left w:val="nil"/>
              <w:bottom w:val="single" w:sz="4" w:space="0" w:color="000000"/>
              <w:right w:val="nil"/>
            </w:tcBorders>
            <w:shd w:val="clear" w:color="auto" w:fill="auto"/>
            <w:vAlign w:val="center"/>
          </w:tcPr>
          <w:p w:rsidR="00222F36" w:rsidRPr="002A7011" w:rsidRDefault="000B682F">
            <w:pPr>
              <w:spacing w:line="240" w:lineRule="auto"/>
              <w:jc w:val="center"/>
              <w:rPr>
                <w:color w:val="000000"/>
              </w:rPr>
            </w:pPr>
            <w:r w:rsidRPr="002A7011">
              <w:rPr>
                <w:color w:val="000000"/>
                <w:sz w:val="24"/>
                <w:szCs w:val="24"/>
              </w:rPr>
              <w:object w:dxaOrig="410" w:dyaOrig="250">
                <v:shape id="_x0000_i1033" type="#_x0000_t75" style="width:20.65pt;height:12.5pt" o:ole="">
                  <v:imagedata r:id="rId29" o:title=""/>
                </v:shape>
                <o:OLEObject Type="Embed" ProgID="Equation.DSMT4" ShapeID="_x0000_i1033" DrawAspect="Content" ObjectID="_1707118132" r:id="rId30"/>
              </w:object>
            </w:r>
          </w:p>
        </w:tc>
        <w:tc>
          <w:tcPr>
            <w:tcW w:w="661" w:type="dxa"/>
            <w:tcBorders>
              <w:top w:val="nil"/>
              <w:left w:val="nil"/>
              <w:bottom w:val="single" w:sz="4" w:space="0" w:color="000000"/>
              <w:right w:val="nil"/>
            </w:tcBorders>
            <w:shd w:val="clear" w:color="auto" w:fill="auto"/>
            <w:vAlign w:val="center"/>
          </w:tcPr>
          <w:p w:rsidR="00222F36" w:rsidRPr="002A7011" w:rsidRDefault="000B682F">
            <w:pPr>
              <w:spacing w:line="240" w:lineRule="auto"/>
              <w:jc w:val="center"/>
              <w:rPr>
                <w:color w:val="000000"/>
              </w:rPr>
            </w:pPr>
            <w:r w:rsidRPr="002A7011">
              <w:rPr>
                <w:color w:val="000000"/>
                <w:sz w:val="24"/>
                <w:szCs w:val="24"/>
              </w:rPr>
              <w:object w:dxaOrig="400" w:dyaOrig="250">
                <v:shape id="_x0000_i1034" type="#_x0000_t75" style="width:20.05pt;height:12.5pt" o:ole="">
                  <v:imagedata r:id="rId31" o:title=""/>
                </v:shape>
                <o:OLEObject Type="Embed" ProgID="Equation.DSMT4" ShapeID="_x0000_i1034" DrawAspect="Content" ObjectID="_1707118133" r:id="rId32"/>
              </w:object>
            </w:r>
          </w:p>
        </w:tc>
        <w:tc>
          <w:tcPr>
            <w:tcW w:w="661" w:type="dxa"/>
            <w:tcBorders>
              <w:top w:val="nil"/>
              <w:left w:val="nil"/>
              <w:bottom w:val="single" w:sz="4" w:space="0" w:color="000000"/>
              <w:right w:val="nil"/>
            </w:tcBorders>
            <w:shd w:val="clear" w:color="auto" w:fill="auto"/>
            <w:vAlign w:val="center"/>
          </w:tcPr>
          <w:p w:rsidR="00222F36" w:rsidRPr="002A7011" w:rsidRDefault="000B682F">
            <w:pPr>
              <w:spacing w:line="240" w:lineRule="auto"/>
              <w:jc w:val="center"/>
              <w:rPr>
                <w:i/>
                <w:color w:val="000000"/>
              </w:rPr>
            </w:pPr>
            <w:r w:rsidRPr="002A7011">
              <w:rPr>
                <w:i/>
                <w:color w:val="000000"/>
              </w:rPr>
              <w:t>EPU</w:t>
            </w:r>
          </w:p>
        </w:tc>
        <w:tc>
          <w:tcPr>
            <w:tcW w:w="670" w:type="dxa"/>
            <w:tcBorders>
              <w:top w:val="nil"/>
              <w:left w:val="nil"/>
              <w:bottom w:val="single" w:sz="4" w:space="0" w:color="000000"/>
              <w:right w:val="nil"/>
            </w:tcBorders>
            <w:shd w:val="clear" w:color="auto" w:fill="auto"/>
            <w:vAlign w:val="center"/>
          </w:tcPr>
          <w:p w:rsidR="00222F36" w:rsidRPr="002A7011" w:rsidRDefault="000B682F">
            <w:pPr>
              <w:spacing w:line="240" w:lineRule="auto"/>
              <w:jc w:val="center"/>
              <w:rPr>
                <w:color w:val="000000"/>
              </w:rPr>
            </w:pPr>
            <w:r w:rsidRPr="002A7011">
              <w:rPr>
                <w:color w:val="000000"/>
                <w:sz w:val="33"/>
                <w:szCs w:val="33"/>
                <w:vertAlign w:val="subscript"/>
              </w:rPr>
              <w:object w:dxaOrig="440" w:dyaOrig="290">
                <v:shape id="_x0000_i1035" type="#_x0000_t75" style="width:21.9pt;height:14.4pt" o:ole="">
                  <v:imagedata r:id="rId33" o:title=""/>
                </v:shape>
                <o:OLEObject Type="Embed" ProgID="Equation.DSMT4" ShapeID="_x0000_i1035" DrawAspect="Content" ObjectID="_1707118134" r:id="rId34"/>
              </w:object>
            </w:r>
          </w:p>
        </w:tc>
        <w:tc>
          <w:tcPr>
            <w:tcW w:w="680" w:type="dxa"/>
            <w:tcBorders>
              <w:top w:val="nil"/>
              <w:left w:val="nil"/>
              <w:bottom w:val="single" w:sz="4" w:space="0" w:color="000000"/>
              <w:right w:val="nil"/>
            </w:tcBorders>
            <w:shd w:val="clear" w:color="auto" w:fill="auto"/>
            <w:vAlign w:val="center"/>
          </w:tcPr>
          <w:p w:rsidR="00222F36" w:rsidRPr="002A7011" w:rsidRDefault="000B682F">
            <w:pPr>
              <w:spacing w:line="240" w:lineRule="auto"/>
              <w:jc w:val="center"/>
              <w:rPr>
                <w:color w:val="000000"/>
              </w:rPr>
            </w:pPr>
            <w:r w:rsidRPr="002A7011">
              <w:rPr>
                <w:color w:val="000000"/>
                <w:sz w:val="33"/>
                <w:szCs w:val="33"/>
                <w:vertAlign w:val="subscript"/>
              </w:rPr>
              <w:object w:dxaOrig="410" w:dyaOrig="290">
                <v:shape id="_x0000_i1036" type="#_x0000_t75" style="width:20.65pt;height:14.4pt" o:ole="">
                  <v:imagedata r:id="rId35" o:title=""/>
                </v:shape>
                <o:OLEObject Type="Embed" ProgID="Equation.DSMT4" ShapeID="_x0000_i1036" DrawAspect="Content" ObjectID="_1707118135" r:id="rId36"/>
              </w:object>
            </w:r>
          </w:p>
        </w:tc>
      </w:tr>
      <w:tr w:rsidR="00222F36" w:rsidRPr="002A7011">
        <w:trPr>
          <w:trHeight w:val="288"/>
        </w:trPr>
        <w:tc>
          <w:tcPr>
            <w:tcW w:w="776" w:type="dxa"/>
            <w:tcBorders>
              <w:top w:val="single" w:sz="4" w:space="0" w:color="000000"/>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1</w:t>
            </w:r>
          </w:p>
        </w:tc>
        <w:tc>
          <w:tcPr>
            <w:tcW w:w="761" w:type="dxa"/>
            <w:tcBorders>
              <w:top w:val="single" w:sz="4" w:space="0" w:color="000000"/>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0.00</w:t>
            </w:r>
          </w:p>
        </w:tc>
        <w:tc>
          <w:tcPr>
            <w:tcW w:w="708" w:type="dxa"/>
            <w:tcBorders>
              <w:top w:val="single" w:sz="4" w:space="0" w:color="000000"/>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0.00</w:t>
            </w:r>
          </w:p>
        </w:tc>
        <w:tc>
          <w:tcPr>
            <w:tcW w:w="680" w:type="dxa"/>
            <w:tcBorders>
              <w:top w:val="single" w:sz="4" w:space="0" w:color="000000"/>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0.00</w:t>
            </w:r>
          </w:p>
        </w:tc>
        <w:tc>
          <w:tcPr>
            <w:tcW w:w="661" w:type="dxa"/>
            <w:tcBorders>
              <w:top w:val="single" w:sz="4" w:space="0" w:color="000000"/>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0.00</w:t>
            </w:r>
          </w:p>
        </w:tc>
        <w:tc>
          <w:tcPr>
            <w:tcW w:w="661" w:type="dxa"/>
            <w:tcBorders>
              <w:top w:val="single" w:sz="4" w:space="0" w:color="000000"/>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0.00</w:t>
            </w:r>
          </w:p>
        </w:tc>
        <w:tc>
          <w:tcPr>
            <w:tcW w:w="661" w:type="dxa"/>
            <w:tcBorders>
              <w:top w:val="single" w:sz="4" w:space="0" w:color="000000"/>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0.00</w:t>
            </w:r>
          </w:p>
        </w:tc>
        <w:tc>
          <w:tcPr>
            <w:tcW w:w="661" w:type="dxa"/>
            <w:tcBorders>
              <w:top w:val="single" w:sz="4" w:space="0" w:color="000000"/>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0.00</w:t>
            </w:r>
          </w:p>
        </w:tc>
        <w:tc>
          <w:tcPr>
            <w:tcW w:w="661" w:type="dxa"/>
            <w:tcBorders>
              <w:top w:val="single" w:sz="4" w:space="0" w:color="000000"/>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0.00</w:t>
            </w:r>
          </w:p>
        </w:tc>
        <w:tc>
          <w:tcPr>
            <w:tcW w:w="670" w:type="dxa"/>
            <w:tcBorders>
              <w:top w:val="single" w:sz="4" w:space="0" w:color="000000"/>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0.00</w:t>
            </w:r>
          </w:p>
        </w:tc>
        <w:tc>
          <w:tcPr>
            <w:tcW w:w="680" w:type="dxa"/>
            <w:tcBorders>
              <w:top w:val="single" w:sz="4" w:space="0" w:color="000000"/>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78.42</w:t>
            </w:r>
          </w:p>
        </w:tc>
      </w:tr>
      <w:tr w:rsidR="00222F36" w:rsidRPr="002A7011">
        <w:trPr>
          <w:trHeight w:val="288"/>
        </w:trPr>
        <w:tc>
          <w:tcPr>
            <w:tcW w:w="776"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2</w:t>
            </w:r>
          </w:p>
        </w:tc>
        <w:tc>
          <w:tcPr>
            <w:tcW w:w="7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1.85</w:t>
            </w:r>
          </w:p>
        </w:tc>
        <w:tc>
          <w:tcPr>
            <w:tcW w:w="708"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0.17</w:t>
            </w:r>
          </w:p>
        </w:tc>
        <w:tc>
          <w:tcPr>
            <w:tcW w:w="680"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0.46</w:t>
            </w:r>
          </w:p>
        </w:tc>
        <w:tc>
          <w:tcPr>
            <w:tcW w:w="6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0.01</w:t>
            </w:r>
          </w:p>
        </w:tc>
        <w:tc>
          <w:tcPr>
            <w:tcW w:w="6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0.02</w:t>
            </w:r>
          </w:p>
        </w:tc>
        <w:tc>
          <w:tcPr>
            <w:tcW w:w="6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0.02</w:t>
            </w:r>
          </w:p>
        </w:tc>
        <w:tc>
          <w:tcPr>
            <w:tcW w:w="6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0.17</w:t>
            </w:r>
          </w:p>
        </w:tc>
        <w:tc>
          <w:tcPr>
            <w:tcW w:w="6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1.17</w:t>
            </w:r>
          </w:p>
        </w:tc>
        <w:tc>
          <w:tcPr>
            <w:tcW w:w="670"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0.13</w:t>
            </w:r>
          </w:p>
        </w:tc>
        <w:tc>
          <w:tcPr>
            <w:tcW w:w="680"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72.98</w:t>
            </w:r>
          </w:p>
        </w:tc>
      </w:tr>
      <w:tr w:rsidR="00222F36" w:rsidRPr="002A7011">
        <w:trPr>
          <w:trHeight w:val="288"/>
        </w:trPr>
        <w:tc>
          <w:tcPr>
            <w:tcW w:w="776"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3</w:t>
            </w:r>
          </w:p>
        </w:tc>
        <w:tc>
          <w:tcPr>
            <w:tcW w:w="7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4.67</w:t>
            </w:r>
          </w:p>
        </w:tc>
        <w:tc>
          <w:tcPr>
            <w:tcW w:w="708"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0.51</w:t>
            </w:r>
          </w:p>
        </w:tc>
        <w:tc>
          <w:tcPr>
            <w:tcW w:w="680"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3.92</w:t>
            </w:r>
          </w:p>
        </w:tc>
        <w:tc>
          <w:tcPr>
            <w:tcW w:w="6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0.03</w:t>
            </w:r>
          </w:p>
        </w:tc>
        <w:tc>
          <w:tcPr>
            <w:tcW w:w="6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0.02</w:t>
            </w:r>
          </w:p>
        </w:tc>
        <w:tc>
          <w:tcPr>
            <w:tcW w:w="6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0.02</w:t>
            </w:r>
          </w:p>
        </w:tc>
        <w:tc>
          <w:tcPr>
            <w:tcW w:w="6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1.19</w:t>
            </w:r>
          </w:p>
        </w:tc>
        <w:tc>
          <w:tcPr>
            <w:tcW w:w="6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1.09</w:t>
            </w:r>
          </w:p>
        </w:tc>
        <w:tc>
          <w:tcPr>
            <w:tcW w:w="670"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0.92</w:t>
            </w:r>
          </w:p>
        </w:tc>
        <w:tc>
          <w:tcPr>
            <w:tcW w:w="680"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67.80</w:t>
            </w:r>
          </w:p>
        </w:tc>
      </w:tr>
      <w:tr w:rsidR="00222F36" w:rsidRPr="002A7011">
        <w:trPr>
          <w:trHeight w:val="288"/>
        </w:trPr>
        <w:tc>
          <w:tcPr>
            <w:tcW w:w="776"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4</w:t>
            </w:r>
          </w:p>
        </w:tc>
        <w:tc>
          <w:tcPr>
            <w:tcW w:w="7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7.54</w:t>
            </w:r>
          </w:p>
        </w:tc>
        <w:tc>
          <w:tcPr>
            <w:tcW w:w="708"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1.12</w:t>
            </w:r>
          </w:p>
        </w:tc>
        <w:tc>
          <w:tcPr>
            <w:tcW w:w="680"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7.47</w:t>
            </w:r>
          </w:p>
        </w:tc>
        <w:tc>
          <w:tcPr>
            <w:tcW w:w="6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0.08</w:t>
            </w:r>
          </w:p>
        </w:tc>
        <w:tc>
          <w:tcPr>
            <w:tcW w:w="6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0.02</w:t>
            </w:r>
          </w:p>
        </w:tc>
        <w:tc>
          <w:tcPr>
            <w:tcW w:w="6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0.02</w:t>
            </w:r>
          </w:p>
        </w:tc>
        <w:tc>
          <w:tcPr>
            <w:tcW w:w="6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2.58</w:t>
            </w:r>
          </w:p>
        </w:tc>
        <w:tc>
          <w:tcPr>
            <w:tcW w:w="6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1.45</w:t>
            </w:r>
          </w:p>
        </w:tc>
        <w:tc>
          <w:tcPr>
            <w:tcW w:w="670"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2.22</w:t>
            </w:r>
          </w:p>
        </w:tc>
        <w:tc>
          <w:tcPr>
            <w:tcW w:w="680"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63.91</w:t>
            </w:r>
          </w:p>
        </w:tc>
      </w:tr>
      <w:tr w:rsidR="00222F36" w:rsidRPr="002A7011">
        <w:trPr>
          <w:trHeight w:val="288"/>
        </w:trPr>
        <w:tc>
          <w:tcPr>
            <w:tcW w:w="776"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5</w:t>
            </w:r>
          </w:p>
        </w:tc>
        <w:tc>
          <w:tcPr>
            <w:tcW w:w="7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10.00</w:t>
            </w:r>
          </w:p>
        </w:tc>
        <w:tc>
          <w:tcPr>
            <w:tcW w:w="708"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1.76</w:t>
            </w:r>
          </w:p>
        </w:tc>
        <w:tc>
          <w:tcPr>
            <w:tcW w:w="680"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10.07</w:t>
            </w:r>
          </w:p>
        </w:tc>
        <w:tc>
          <w:tcPr>
            <w:tcW w:w="6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0.19</w:t>
            </w:r>
          </w:p>
        </w:tc>
        <w:tc>
          <w:tcPr>
            <w:tcW w:w="6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0.02</w:t>
            </w:r>
          </w:p>
        </w:tc>
        <w:tc>
          <w:tcPr>
            <w:tcW w:w="6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0.01</w:t>
            </w:r>
          </w:p>
        </w:tc>
        <w:tc>
          <w:tcPr>
            <w:tcW w:w="6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3.38</w:t>
            </w:r>
          </w:p>
        </w:tc>
        <w:tc>
          <w:tcPr>
            <w:tcW w:w="6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1.75</w:t>
            </w:r>
          </w:p>
        </w:tc>
        <w:tc>
          <w:tcPr>
            <w:tcW w:w="670"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3.21</w:t>
            </w:r>
          </w:p>
        </w:tc>
        <w:tc>
          <w:tcPr>
            <w:tcW w:w="680"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61.04</w:t>
            </w:r>
          </w:p>
        </w:tc>
      </w:tr>
      <w:tr w:rsidR="00222F36" w:rsidRPr="002A7011">
        <w:trPr>
          <w:trHeight w:val="288"/>
        </w:trPr>
        <w:tc>
          <w:tcPr>
            <w:tcW w:w="776"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10</w:t>
            </w:r>
          </w:p>
        </w:tc>
        <w:tc>
          <w:tcPr>
            <w:tcW w:w="7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15.43</w:t>
            </w:r>
          </w:p>
        </w:tc>
        <w:tc>
          <w:tcPr>
            <w:tcW w:w="708"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2.35</w:t>
            </w:r>
          </w:p>
        </w:tc>
        <w:tc>
          <w:tcPr>
            <w:tcW w:w="680"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12.68</w:t>
            </w:r>
          </w:p>
        </w:tc>
        <w:tc>
          <w:tcPr>
            <w:tcW w:w="6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0.82</w:t>
            </w:r>
          </w:p>
        </w:tc>
        <w:tc>
          <w:tcPr>
            <w:tcW w:w="6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0.01</w:t>
            </w:r>
          </w:p>
        </w:tc>
        <w:tc>
          <w:tcPr>
            <w:tcW w:w="6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0.01</w:t>
            </w:r>
          </w:p>
        </w:tc>
        <w:tc>
          <w:tcPr>
            <w:tcW w:w="6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2.63</w:t>
            </w:r>
          </w:p>
        </w:tc>
        <w:tc>
          <w:tcPr>
            <w:tcW w:w="661"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1.63</w:t>
            </w:r>
          </w:p>
        </w:tc>
        <w:tc>
          <w:tcPr>
            <w:tcW w:w="670"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4.91</w:t>
            </w:r>
          </w:p>
        </w:tc>
        <w:tc>
          <w:tcPr>
            <w:tcW w:w="680" w:type="dxa"/>
            <w:tcBorders>
              <w:top w:val="nil"/>
              <w:left w:val="nil"/>
              <w:bottom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53.80</w:t>
            </w:r>
          </w:p>
        </w:tc>
      </w:tr>
      <w:tr w:rsidR="00222F36" w:rsidRPr="002A7011">
        <w:trPr>
          <w:trHeight w:val="288"/>
        </w:trPr>
        <w:tc>
          <w:tcPr>
            <w:tcW w:w="776" w:type="dxa"/>
            <w:tcBorders>
              <w:top w:val="nil"/>
              <w:left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15</w:t>
            </w:r>
          </w:p>
        </w:tc>
        <w:tc>
          <w:tcPr>
            <w:tcW w:w="761" w:type="dxa"/>
            <w:tcBorders>
              <w:top w:val="nil"/>
              <w:left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16.31</w:t>
            </w:r>
          </w:p>
        </w:tc>
        <w:tc>
          <w:tcPr>
            <w:tcW w:w="708" w:type="dxa"/>
            <w:tcBorders>
              <w:top w:val="nil"/>
              <w:left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2.36</w:t>
            </w:r>
          </w:p>
        </w:tc>
        <w:tc>
          <w:tcPr>
            <w:tcW w:w="680" w:type="dxa"/>
            <w:tcBorders>
              <w:top w:val="nil"/>
              <w:left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11.73</w:t>
            </w:r>
          </w:p>
        </w:tc>
        <w:tc>
          <w:tcPr>
            <w:tcW w:w="661" w:type="dxa"/>
            <w:tcBorders>
              <w:top w:val="nil"/>
              <w:left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1.08</w:t>
            </w:r>
          </w:p>
        </w:tc>
        <w:tc>
          <w:tcPr>
            <w:tcW w:w="661" w:type="dxa"/>
            <w:tcBorders>
              <w:top w:val="nil"/>
              <w:left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0.03</w:t>
            </w:r>
          </w:p>
        </w:tc>
        <w:tc>
          <w:tcPr>
            <w:tcW w:w="661" w:type="dxa"/>
            <w:tcBorders>
              <w:top w:val="nil"/>
              <w:left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0.01</w:t>
            </w:r>
          </w:p>
        </w:tc>
        <w:tc>
          <w:tcPr>
            <w:tcW w:w="661" w:type="dxa"/>
            <w:tcBorders>
              <w:top w:val="nil"/>
              <w:left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2.01</w:t>
            </w:r>
          </w:p>
        </w:tc>
        <w:tc>
          <w:tcPr>
            <w:tcW w:w="661" w:type="dxa"/>
            <w:tcBorders>
              <w:top w:val="nil"/>
              <w:left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1.81</w:t>
            </w:r>
          </w:p>
        </w:tc>
        <w:tc>
          <w:tcPr>
            <w:tcW w:w="670" w:type="dxa"/>
            <w:tcBorders>
              <w:top w:val="nil"/>
              <w:left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5.40</w:t>
            </w:r>
          </w:p>
        </w:tc>
        <w:tc>
          <w:tcPr>
            <w:tcW w:w="680" w:type="dxa"/>
            <w:tcBorders>
              <w:top w:val="nil"/>
              <w:left w:val="nil"/>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49.92</w:t>
            </w:r>
          </w:p>
        </w:tc>
      </w:tr>
      <w:tr w:rsidR="00222F36" w:rsidRPr="002A7011">
        <w:trPr>
          <w:trHeight w:val="288"/>
        </w:trPr>
        <w:tc>
          <w:tcPr>
            <w:tcW w:w="776" w:type="dxa"/>
            <w:tcBorders>
              <w:top w:val="nil"/>
              <w:left w:val="nil"/>
              <w:bottom w:val="single" w:sz="4" w:space="0" w:color="000000"/>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20</w:t>
            </w:r>
          </w:p>
        </w:tc>
        <w:tc>
          <w:tcPr>
            <w:tcW w:w="761" w:type="dxa"/>
            <w:tcBorders>
              <w:top w:val="nil"/>
              <w:left w:val="nil"/>
              <w:bottom w:val="single" w:sz="4" w:space="0" w:color="000000"/>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16.49</w:t>
            </w:r>
          </w:p>
        </w:tc>
        <w:tc>
          <w:tcPr>
            <w:tcW w:w="708" w:type="dxa"/>
            <w:tcBorders>
              <w:top w:val="nil"/>
              <w:left w:val="nil"/>
              <w:bottom w:val="single" w:sz="4" w:space="0" w:color="000000"/>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2.32</w:t>
            </w:r>
          </w:p>
        </w:tc>
        <w:tc>
          <w:tcPr>
            <w:tcW w:w="680" w:type="dxa"/>
            <w:tcBorders>
              <w:top w:val="nil"/>
              <w:left w:val="nil"/>
              <w:bottom w:val="single" w:sz="4" w:space="0" w:color="000000"/>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10.92</w:t>
            </w:r>
          </w:p>
        </w:tc>
        <w:tc>
          <w:tcPr>
            <w:tcW w:w="661" w:type="dxa"/>
            <w:tcBorders>
              <w:top w:val="nil"/>
              <w:left w:val="nil"/>
              <w:bottom w:val="single" w:sz="4" w:space="0" w:color="000000"/>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1.19</w:t>
            </w:r>
          </w:p>
        </w:tc>
        <w:tc>
          <w:tcPr>
            <w:tcW w:w="661" w:type="dxa"/>
            <w:tcBorders>
              <w:top w:val="nil"/>
              <w:left w:val="nil"/>
              <w:bottom w:val="single" w:sz="4" w:space="0" w:color="000000"/>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0.06</w:t>
            </w:r>
          </w:p>
        </w:tc>
        <w:tc>
          <w:tcPr>
            <w:tcW w:w="661" w:type="dxa"/>
            <w:tcBorders>
              <w:top w:val="nil"/>
              <w:left w:val="nil"/>
              <w:bottom w:val="single" w:sz="4" w:space="0" w:color="000000"/>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0.02</w:t>
            </w:r>
          </w:p>
        </w:tc>
        <w:tc>
          <w:tcPr>
            <w:tcW w:w="661" w:type="dxa"/>
            <w:tcBorders>
              <w:top w:val="nil"/>
              <w:left w:val="nil"/>
              <w:bottom w:val="single" w:sz="4" w:space="0" w:color="000000"/>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1.63</w:t>
            </w:r>
          </w:p>
        </w:tc>
        <w:tc>
          <w:tcPr>
            <w:tcW w:w="661" w:type="dxa"/>
            <w:tcBorders>
              <w:top w:val="nil"/>
              <w:left w:val="nil"/>
              <w:bottom w:val="single" w:sz="4" w:space="0" w:color="000000"/>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1.86</w:t>
            </w:r>
          </w:p>
        </w:tc>
        <w:tc>
          <w:tcPr>
            <w:tcW w:w="670" w:type="dxa"/>
            <w:tcBorders>
              <w:top w:val="nil"/>
              <w:left w:val="nil"/>
              <w:bottom w:val="single" w:sz="4" w:space="0" w:color="000000"/>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5.42</w:t>
            </w:r>
          </w:p>
        </w:tc>
        <w:tc>
          <w:tcPr>
            <w:tcW w:w="680" w:type="dxa"/>
            <w:tcBorders>
              <w:top w:val="nil"/>
              <w:left w:val="nil"/>
              <w:bottom w:val="single" w:sz="4" w:space="0" w:color="000000"/>
              <w:right w:val="nil"/>
            </w:tcBorders>
            <w:shd w:val="clear" w:color="auto" w:fill="auto"/>
            <w:vAlign w:val="center"/>
          </w:tcPr>
          <w:p w:rsidR="00222F36" w:rsidRPr="002A7011" w:rsidRDefault="000B682F">
            <w:pPr>
              <w:spacing w:line="240" w:lineRule="auto"/>
              <w:jc w:val="center"/>
              <w:rPr>
                <w:color w:val="000000"/>
              </w:rPr>
            </w:pPr>
            <w:r w:rsidRPr="002A7011">
              <w:rPr>
                <w:color w:val="000000"/>
              </w:rPr>
              <w:t>47.15</w:t>
            </w:r>
          </w:p>
        </w:tc>
      </w:tr>
      <w:tr w:rsidR="00222F36" w:rsidRPr="002A7011">
        <w:trPr>
          <w:trHeight w:val="288"/>
        </w:trPr>
        <w:tc>
          <w:tcPr>
            <w:tcW w:w="7580" w:type="dxa"/>
            <w:gridSpan w:val="11"/>
            <w:tcBorders>
              <w:top w:val="single" w:sz="4" w:space="0" w:color="000000"/>
              <w:left w:val="nil"/>
              <w:right w:val="nil"/>
            </w:tcBorders>
            <w:shd w:val="clear" w:color="auto" w:fill="auto"/>
            <w:vAlign w:val="center"/>
          </w:tcPr>
          <w:p w:rsidR="00222F36" w:rsidRPr="002A7011" w:rsidRDefault="000B682F">
            <w:pPr>
              <w:spacing w:line="240" w:lineRule="auto"/>
              <w:rPr>
                <w:color w:val="000000"/>
                <w:sz w:val="16"/>
                <w:szCs w:val="16"/>
              </w:rPr>
            </w:pPr>
            <w:r w:rsidRPr="002A7011">
              <w:rPr>
                <w:color w:val="000000"/>
                <w:sz w:val="16"/>
                <w:szCs w:val="16"/>
              </w:rPr>
              <w:t xml:space="preserve">Notes: Numbers reported are in percentages. Lowercase variables are in logarithms. </w:t>
            </w:r>
          </w:p>
        </w:tc>
      </w:tr>
    </w:tbl>
    <w:p w:rsidR="00222F36" w:rsidRPr="002A7011" w:rsidRDefault="00222F36">
      <w:pPr>
        <w:spacing w:line="480" w:lineRule="auto"/>
      </w:pPr>
    </w:p>
    <w:p w:rsidR="00222F36" w:rsidRPr="002A7011" w:rsidRDefault="00222F36">
      <w:pPr>
        <w:spacing w:line="480" w:lineRule="auto"/>
        <w:ind w:firstLine="720"/>
      </w:pPr>
    </w:p>
    <w:p w:rsidR="00222F36" w:rsidRPr="002A7011" w:rsidRDefault="000B682F">
      <w:pPr>
        <w:spacing w:line="480" w:lineRule="auto"/>
      </w:pPr>
      <w:r w:rsidRPr="002A7011">
        <w:tab/>
        <w:t>Figure 5 reports the response of each variable to the business-sentiment shock identified from the VECM. The confidence intervals are constructed using the method of Hall with 1000 bootstrap replications.</w:t>
      </w:r>
      <w:r w:rsidRPr="002A7011">
        <w:rPr>
          <w:vertAlign w:val="superscript"/>
        </w:rPr>
        <w:footnoteReference w:id="34"/>
      </w:r>
      <w:r w:rsidRPr="002A7011">
        <w:t xml:space="preserve"> The business-sentiment shock has a positive and significant impact on industrial production, on the S&amp;P 500 stock index, on bank loans, on the credit risk spread, and on the </w:t>
      </w:r>
      <w:r w:rsidRPr="002A7011">
        <w:lastRenderedPageBreak/>
        <w:t>business-sentiment series obtained from the NYT. The business-sentiment shock has a significant and negative impact on the credit risk spread and economic policy uncertainty.</w:t>
      </w:r>
    </w:p>
    <w:p w:rsidR="00222F36" w:rsidRPr="002A7011" w:rsidRDefault="000B682F">
      <w:pPr>
        <w:spacing w:line="480" w:lineRule="auto"/>
      </w:pPr>
      <w:r w:rsidRPr="002A7011">
        <w:tab/>
        <w:t>The online appendix contains the full set of impulse response functions but the evidence is that the identified business-sentiment shock does have an impact on important real variables with a delay between 3 and 8 months. This is consistent with the forecast error variance decompositions reported in Table 1.</w:t>
      </w:r>
    </w:p>
    <w:p w:rsidR="00222F36" w:rsidRPr="002A7011" w:rsidRDefault="000B682F">
      <w:pPr>
        <w:keepNext/>
        <w:pBdr>
          <w:top w:val="nil"/>
          <w:left w:val="nil"/>
          <w:bottom w:val="nil"/>
          <w:right w:val="nil"/>
          <w:between w:val="nil"/>
        </w:pBdr>
        <w:spacing w:after="200"/>
        <w:jc w:val="center"/>
        <w:rPr>
          <w:b/>
          <w:color w:val="000000"/>
        </w:rPr>
      </w:pPr>
      <w:r w:rsidRPr="002A7011">
        <w:rPr>
          <w:b/>
          <w:color w:val="000000"/>
        </w:rPr>
        <w:t>Figure 5: Impulse Response Functions for Business-Sentiment Shock</w:t>
      </w:r>
    </w:p>
    <w:p w:rsidR="00222F36" w:rsidRPr="002A7011" w:rsidRDefault="000B682F">
      <w:pPr>
        <w:jc w:val="center"/>
      </w:pPr>
      <w:r w:rsidRPr="002A7011">
        <w:rPr>
          <w:noProof/>
          <w:lang w:eastAsia="en-GB"/>
        </w:rPr>
        <w:drawing>
          <wp:inline distT="0" distB="0" distL="0" distR="0">
            <wp:extent cx="4561205" cy="3646805"/>
            <wp:effectExtent l="0" t="0" r="0" b="0"/>
            <wp:docPr id="69"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37"/>
                    <a:srcRect/>
                    <a:stretch>
                      <a:fillRect/>
                    </a:stretch>
                  </pic:blipFill>
                  <pic:spPr>
                    <a:xfrm>
                      <a:off x="0" y="0"/>
                      <a:ext cx="4561205" cy="3646805"/>
                    </a:xfrm>
                    <a:prstGeom prst="rect">
                      <a:avLst/>
                    </a:prstGeom>
                    <a:ln/>
                  </pic:spPr>
                </pic:pic>
              </a:graphicData>
            </a:graphic>
          </wp:inline>
        </w:drawing>
      </w:r>
    </w:p>
    <w:p w:rsidR="00222F36" w:rsidRPr="002A7011" w:rsidRDefault="000B682F">
      <w:pPr>
        <w:pBdr>
          <w:top w:val="single" w:sz="4" w:space="1" w:color="000000"/>
        </w:pBdr>
        <w:rPr>
          <w:sz w:val="16"/>
          <w:szCs w:val="16"/>
        </w:rPr>
      </w:pPr>
      <w:r w:rsidRPr="002A7011">
        <w:rPr>
          <w:sz w:val="20"/>
          <w:szCs w:val="20"/>
        </w:rPr>
        <w:t xml:space="preserve">* </w:t>
      </w:r>
      <w:r w:rsidRPr="002A7011">
        <w:rPr>
          <w:sz w:val="16"/>
          <w:szCs w:val="16"/>
        </w:rPr>
        <w:t xml:space="preserve">The solid lines represent the mean impulse response of the selected variables to a one standard deviation shock to the business-sentiment shock. The business sentiment shock was obtained from ordering the WSJ sentiment series last in a ten variable vector error correction model. The dashed lines represent a 95% bootstrapped confidence interval using 1000 bootstrap replications using the method of Hall. </w:t>
      </w:r>
    </w:p>
    <w:p w:rsidR="00222F36" w:rsidRPr="002A7011" w:rsidRDefault="00222F36">
      <w:pPr>
        <w:spacing w:line="480" w:lineRule="auto"/>
      </w:pPr>
    </w:p>
    <w:p w:rsidR="00222F36" w:rsidRPr="002A7011" w:rsidRDefault="000B682F">
      <w:pPr>
        <w:spacing w:line="480" w:lineRule="auto"/>
        <w:ind w:firstLine="720"/>
      </w:pPr>
      <w:bookmarkStart w:id="5" w:name="_heading=h.tyjcwt" w:colFirst="0" w:colLast="0"/>
      <w:bookmarkEnd w:id="5"/>
      <w:r w:rsidRPr="002A7011">
        <w:lastRenderedPageBreak/>
        <w:t>We have shown that the identified business-sentiment shock affects output, the stock market, business loans, and the credit risk spread. The inference is that business-sentiment affects the economy through the credit channel. That is, a positive shock to business-sentiment increases business loans and lowers the credit risk spread, a key measure of the price Baa-rated firms pay for raising capital through the bond market.</w:t>
      </w:r>
    </w:p>
    <w:p w:rsidR="00222F36" w:rsidRPr="002A7011" w:rsidRDefault="000B682F">
      <w:pPr>
        <w:spacing w:line="480" w:lineRule="auto"/>
      </w:pPr>
      <w:bookmarkStart w:id="6" w:name="_heading=h.3dy6vkm" w:colFirst="0" w:colLast="0"/>
      <w:bookmarkEnd w:id="6"/>
      <w:r w:rsidRPr="002A7011">
        <w:tab/>
        <w:t xml:space="preserve">Note that the emphasis of this analysis is the identification of the component of shocks to business-sentiment that is orthogonal to a large number of fundamental shocks. These shocks are then used in historical decompositions for different sub-periods of our sample. It is important then that the identified shocks have a consistent interpretation across the whole sample. The forecast error variance decomposition and impulse response functions are not the main priority of the analysis. Alternative approaches to estimating the impulse response function, such as the method of local projections, were not considered, as this approach does not yield an innovation to sentiment with a consistent interpretation across the sample. </w:t>
      </w:r>
    </w:p>
    <w:p w:rsidR="00222F36" w:rsidRPr="002A7011" w:rsidRDefault="000B682F">
      <w:pPr>
        <w:spacing w:line="480" w:lineRule="auto"/>
        <w:ind w:firstLine="720"/>
      </w:pPr>
      <w:r w:rsidRPr="002A7011">
        <w:t xml:space="preserve">Before analysing our results for some important periods of our sample,      we note that we performed a number of robustness tests of our specification. We first exchanged the order that the two sentiment series appeared in the model. The results were unchanged suggesting that the sentiment series obtained from the NYT contains different information to the business-sentiment series obtained from the WSJ. </w:t>
      </w:r>
    </w:p>
    <w:p w:rsidR="00222F36" w:rsidRPr="002A7011" w:rsidRDefault="000B682F">
      <w:pPr>
        <w:spacing w:line="480" w:lineRule="auto"/>
      </w:pPr>
      <w:r w:rsidRPr="002A7011">
        <w:tab/>
        <w:t xml:space="preserve">The next robustness checks were to replace the sentiment series obtained from the NYT with alternative sentiment series obtained from the WSJ using </w:t>
      </w:r>
      <w:r w:rsidRPr="002A7011">
        <w:lastRenderedPageBreak/>
        <w:t xml:space="preserve">the different lexicons of Loughran and McDonald and alternative NYT-based series from Garcia. Our results again did not change suggesting that the lexicon of approach/avoidance words used does have different information content than the standard lexicons used in the literature. </w:t>
      </w:r>
    </w:p>
    <w:p w:rsidR="00222F36" w:rsidRPr="002A7011" w:rsidRDefault="00222F36">
      <w:pPr>
        <w:spacing w:line="480" w:lineRule="auto"/>
      </w:pPr>
    </w:p>
    <w:p w:rsidR="00222F36" w:rsidRPr="002A7011" w:rsidRDefault="00222F36">
      <w:pPr>
        <w:spacing w:line="480" w:lineRule="auto"/>
      </w:pPr>
    </w:p>
    <w:p w:rsidR="00222F36" w:rsidRPr="002A7011" w:rsidRDefault="00222F36">
      <w:pPr>
        <w:spacing w:line="480" w:lineRule="auto"/>
      </w:pPr>
    </w:p>
    <w:p w:rsidR="00222F36" w:rsidRPr="002A7011" w:rsidRDefault="00222F36">
      <w:pPr>
        <w:spacing w:line="480" w:lineRule="auto"/>
      </w:pPr>
    </w:p>
    <w:p w:rsidR="00222F36" w:rsidRPr="002A7011" w:rsidRDefault="000B682F">
      <w:pPr>
        <w:pStyle w:val="Heading1"/>
        <w:numPr>
          <w:ilvl w:val="0"/>
          <w:numId w:val="1"/>
        </w:numPr>
        <w:spacing w:line="480" w:lineRule="auto"/>
      </w:pPr>
      <w:r w:rsidRPr="002A7011">
        <w:t>Historical Decompositions of Important Periods in our Sample</w:t>
      </w:r>
    </w:p>
    <w:p w:rsidR="00222F36" w:rsidRPr="002A7011" w:rsidRDefault="00222F36">
      <w:pPr>
        <w:spacing w:line="480" w:lineRule="auto"/>
        <w:ind w:firstLine="720"/>
      </w:pPr>
    </w:p>
    <w:p w:rsidR="00222F36" w:rsidRPr="002A7011" w:rsidRDefault="000B682F">
      <w:pPr>
        <w:spacing w:line="480" w:lineRule="auto"/>
      </w:pPr>
      <w:r w:rsidRPr="002A7011">
        <w:t xml:space="preserve">The FEVD and the impulse response functions, reported in Figure 5, report the average impact of a “pure” business-sentiment shock on each series in the model. In this section, we drill down into specific periods to see the impact of the business-sentiment shock using historical decompositions. The historical decompositions report the counterfactual experiment of what would have happened had the business-sentiment shock not occurred. That is, the business-sentiment shock is set to zero for all dates in the sub-period and a counterfactual series is created using the estimated model. The periods that we chose are either periods where there are large one-off shocks to business-sentiment or periods where there are runs of shocks of one sign. The historical decomposition therefore allows us to report the accumulated impact of the business-sentiment shocks. </w:t>
      </w:r>
    </w:p>
    <w:p w:rsidR="00222F36" w:rsidRPr="002A7011" w:rsidRDefault="000B682F">
      <w:pPr>
        <w:spacing w:line="480" w:lineRule="auto"/>
        <w:ind w:firstLine="576"/>
      </w:pPr>
      <w:r w:rsidRPr="002A7011">
        <w:lastRenderedPageBreak/>
        <w:t xml:space="preserve">In what follows, we look in more detail at some periods in our sample and comment on what might have driven business-sentiment during these periods. In particular, how much optimism, and how much worry, were generated by observations of domestic developments. In addition, how far did articles reflect a concern that foreign developments, financial instability, worries about government debt levels, but also labor militancy, might spill over into the US? The online appendix reports historical decompositions for all variables and for a larger set of sub-periods. Here we report the historical decomposition for important variables and for periods in which there were some large impacts.   </w:t>
      </w:r>
    </w:p>
    <w:p w:rsidR="00222F36" w:rsidRPr="002A7011" w:rsidRDefault="000B682F">
      <w:pPr>
        <w:spacing w:line="480" w:lineRule="auto"/>
        <w:ind w:firstLine="576"/>
      </w:pPr>
      <w:bookmarkStart w:id="7" w:name="_heading=h.1t3h5sf" w:colFirst="0" w:colLast="0"/>
      <w:bookmarkEnd w:id="7"/>
      <w:r w:rsidRPr="002A7011">
        <w:t xml:space="preserve">During the early 1920’s there was a sharp recession in the United States. The first period that we investigate using historical decompositions is the period from July 1920 to May 1921. During this period, there was a run of moderately large negative business-sentiment shocks, as seen in Figure 4. </w:t>
      </w:r>
    </w:p>
    <w:p w:rsidR="00222F36" w:rsidRPr="002A7011" w:rsidRDefault="000B682F">
      <w:pPr>
        <w:spacing w:line="480" w:lineRule="auto"/>
        <w:ind w:firstLine="576"/>
      </w:pPr>
      <w:r w:rsidRPr="002A7011">
        <w:t>Figure 6 depicts the historical decomposition for this period. The solid line in each tile is the actual data for this subperiod and the dashed line is the counterfactual series under the assumption that the business-sentiment shocks are set to zero from July 1920 to May 1921. In order to compare industrial production, the stock market index, and bank loans, each variable is normalized to be 100 at the start of the period. For the credit risk spread, the historical decompositions are reported in deviations from the initial value, in basis points.</w:t>
      </w:r>
    </w:p>
    <w:p w:rsidR="00222F36" w:rsidRPr="002A7011" w:rsidRDefault="000B682F">
      <w:pPr>
        <w:spacing w:line="480" w:lineRule="auto"/>
        <w:ind w:firstLine="576"/>
      </w:pPr>
      <w:r w:rsidRPr="002A7011">
        <w:t xml:space="preserve">It is quite clear from the figure that the impact of the run of moderately large business-sentiment shocks in late 1920 to early 1921 had a significant impact on some of the variables of our system. Measured business-sentiment, obtained from the WSJ, would have been roughly four times higher had </w:t>
      </w:r>
      <w:r w:rsidRPr="002A7011">
        <w:lastRenderedPageBreak/>
        <w:t xml:space="preserve">business-sentiment only been driven by the other shocks in the system. The impact of this lower business-sentiment was to lower industrial production, lower the stock market, lower bank loans, and increase the credit risk spread. </w:t>
      </w:r>
    </w:p>
    <w:p w:rsidR="00222F36" w:rsidRPr="002A7011" w:rsidRDefault="000B682F">
      <w:pPr>
        <w:spacing w:line="480" w:lineRule="auto"/>
        <w:ind w:firstLine="576"/>
      </w:pPr>
      <w:r w:rsidRPr="002A7011">
        <w:t xml:space="preserve"> </w:t>
      </w:r>
    </w:p>
    <w:p w:rsidR="00222F36" w:rsidRPr="002A7011" w:rsidRDefault="000B682F">
      <w:pPr>
        <w:keepNext/>
        <w:jc w:val="center"/>
        <w:rPr>
          <w:b/>
        </w:rPr>
      </w:pPr>
      <w:r w:rsidRPr="002A7011">
        <w:rPr>
          <w:b/>
        </w:rPr>
        <w:t>Figure 6: Historical decomposition for July 1920 to May 1921</w:t>
      </w:r>
    </w:p>
    <w:p w:rsidR="00222F36" w:rsidRPr="002A7011" w:rsidRDefault="000B682F">
      <w:pPr>
        <w:jc w:val="center"/>
        <w:rPr>
          <w:b/>
        </w:rPr>
      </w:pPr>
      <w:r w:rsidRPr="002A7011">
        <w:rPr>
          <w:b/>
          <w:noProof/>
          <w:lang w:eastAsia="en-GB"/>
        </w:rPr>
        <w:drawing>
          <wp:inline distT="0" distB="0" distL="0" distR="0">
            <wp:extent cx="4561205" cy="3646805"/>
            <wp:effectExtent l="0" t="0" r="0" b="0"/>
            <wp:docPr id="70"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38"/>
                    <a:srcRect/>
                    <a:stretch>
                      <a:fillRect/>
                    </a:stretch>
                  </pic:blipFill>
                  <pic:spPr>
                    <a:xfrm>
                      <a:off x="0" y="0"/>
                      <a:ext cx="4561205" cy="3646805"/>
                    </a:xfrm>
                    <a:prstGeom prst="rect">
                      <a:avLst/>
                    </a:prstGeom>
                    <a:ln/>
                  </pic:spPr>
                </pic:pic>
              </a:graphicData>
            </a:graphic>
          </wp:inline>
        </w:drawing>
      </w:r>
    </w:p>
    <w:p w:rsidR="00222F36" w:rsidRPr="002A7011" w:rsidRDefault="000B682F">
      <w:pPr>
        <w:pBdr>
          <w:top w:val="single" w:sz="4" w:space="1" w:color="000000"/>
        </w:pBdr>
        <w:rPr>
          <w:sz w:val="20"/>
          <w:szCs w:val="20"/>
        </w:rPr>
      </w:pPr>
      <w:r w:rsidRPr="002A7011">
        <w:rPr>
          <w:sz w:val="20"/>
          <w:szCs w:val="20"/>
        </w:rPr>
        <w:t>*</w:t>
      </w:r>
      <w:r w:rsidRPr="002A7011">
        <w:rPr>
          <w:sz w:val="16"/>
          <w:szCs w:val="16"/>
        </w:rPr>
        <w:t>Industrial production, the stock market, bank loans, and prices are normalized to equal 100 for the first date of each subperiod. The credit risk spread is measured in deviations (in basis points) from the value at the first date of each subperiod. The solid line is the actual data while the dashed line is the counterfactual series with the business-sentiment shock removed.</w:t>
      </w:r>
      <w:r w:rsidRPr="002A7011">
        <w:rPr>
          <w:sz w:val="20"/>
          <w:szCs w:val="20"/>
        </w:rPr>
        <w:t xml:space="preserve"> </w:t>
      </w:r>
    </w:p>
    <w:p w:rsidR="00222F36" w:rsidRPr="002A7011" w:rsidRDefault="00222F36"/>
    <w:p w:rsidR="00222F36" w:rsidRPr="002A7011" w:rsidRDefault="000B682F">
      <w:r w:rsidRPr="002A7011">
        <w:t>As can be seen by the dashed line, had it not been for the run of negative business-sentiment shocks, industrial production would have been fifteen percent higher than it actually was. That is the accumulated impact of the run of negative business-sentiment during this period was to lower industrial output by about fifteen percent. The impact on the stock market was eleven percent and the impact on bank loans was about eight percent. The credit risk spread was about twenty-five basis points higher.</w:t>
      </w:r>
    </w:p>
    <w:p w:rsidR="00222F36" w:rsidRPr="002A7011" w:rsidRDefault="000B682F">
      <w:pPr>
        <w:spacing w:line="480" w:lineRule="auto"/>
      </w:pPr>
      <w:r w:rsidRPr="002A7011">
        <w:lastRenderedPageBreak/>
        <w:tab/>
        <w:t>During this period, the run of negative business-sentiment shocks has a significant impact on industrial production and the stock market. The credit channel is the obvious explanation for this as we see that bank loans decrease due to the negative business-sentiment and it was also more expensive for Baa-rated firms to raise capital in the bond market.</w:t>
      </w:r>
    </w:p>
    <w:p w:rsidR="00222F36" w:rsidRPr="002A7011" w:rsidRDefault="000B682F">
      <w:pPr>
        <w:spacing w:line="480" w:lineRule="auto"/>
        <w:ind w:firstLine="720"/>
      </w:pPr>
      <w:r w:rsidRPr="002A7011">
        <w:t>The articles that score high on “avoidance” dealt with domestic conditions in the US, but also with the impact of foreign political uncertainties, especially the western military push of the Soviet armies, and the uncertainty about Germany and reparations. In July 1920, the highest rating article in “avoidance” terms reported on the complaint of Comptroller of the Currency John Skelton Williams about the ‘excessive and burdensome interest rates, running up to 10, 12, and 15 percent and higher’ charged by New York banks.</w:t>
      </w:r>
      <w:r w:rsidRPr="002A7011">
        <w:rPr>
          <w:vertAlign w:val="superscript"/>
        </w:rPr>
        <w:footnoteReference w:id="35"/>
      </w:r>
      <w:r w:rsidRPr="002A7011">
        <w:t xml:space="preserve"> Other articles dealt with transportation difficulties, and coal shortages, with discussions that the wartime control of coal might be required to combat bottlenecks in the supply of bituminous coal and anthracite.</w:t>
      </w:r>
      <w:r w:rsidRPr="002A7011">
        <w:rPr>
          <w:vertAlign w:val="superscript"/>
        </w:rPr>
        <w:footnoteReference w:id="36"/>
      </w:r>
      <w:r w:rsidRPr="002A7011">
        <w:t xml:space="preserve"> In August 1920, a substantial number of articles were concerned with the slow pace of downward wage adjustments and consequent threats to profitability.</w:t>
      </w:r>
      <w:r w:rsidRPr="002A7011">
        <w:rPr>
          <w:vertAlign w:val="superscript"/>
        </w:rPr>
        <w:footnoteReference w:id="37"/>
      </w:r>
      <w:r w:rsidRPr="002A7011">
        <w:t xml:space="preserve"> While consumer prices were falling during this period, railway wages were not. There was deep concern that the Interstate Commerce Commission was not allowing railroads </w:t>
      </w:r>
      <w:r w:rsidRPr="002A7011">
        <w:lastRenderedPageBreak/>
        <w:t>to increase their shipping prices, which was affecting profits. This meant that railroads were not investing in increased capacity leading to problems with capacity constraints within the system.</w:t>
      </w:r>
    </w:p>
    <w:p w:rsidR="00222F36" w:rsidRPr="002A7011" w:rsidRDefault="000B682F">
      <w:pPr>
        <w:spacing w:line="480" w:lineRule="auto"/>
        <w:ind w:firstLine="720"/>
      </w:pPr>
      <w:r w:rsidRPr="002A7011">
        <w:t xml:space="preserve">The next period in the early 1920’s is from June 1921 to March 1922. This reflects the expansion of output after the end of the recession in 1921. This is also a period of predominantly large positive shocks to business-sentiment. A characteristic article is the upbeat reflection of Charles M. Schwab, the steel magnate and former director-general of the wartime Emergency Fleet Corporation: ‘Out of the decisions which are made within the few months there may arise the </w:t>
      </w:r>
      <w:r w:rsidRPr="002A7011">
        <w:rPr>
          <w:i/>
        </w:rPr>
        <w:t xml:space="preserve">greatest </w:t>
      </w:r>
      <w:r w:rsidRPr="002A7011">
        <w:t xml:space="preserve">prosperity the world has ever known  ….it is impossible for me to be anything but an optimist. To me the world is so full of opportunity and </w:t>
      </w:r>
      <w:r w:rsidRPr="002A7011">
        <w:rPr>
          <w:i/>
        </w:rPr>
        <w:t>promise</w:t>
      </w:r>
      <w:r w:rsidRPr="002A7011">
        <w:t xml:space="preserve"> and </w:t>
      </w:r>
      <w:r w:rsidRPr="002A7011">
        <w:rPr>
          <w:i/>
        </w:rPr>
        <w:t>confidence</w:t>
      </w:r>
      <w:r w:rsidRPr="002A7011">
        <w:t xml:space="preserve">, that I cannot look forward to anything but a future full of </w:t>
      </w:r>
      <w:r w:rsidRPr="002A7011">
        <w:rPr>
          <w:i/>
        </w:rPr>
        <w:t xml:space="preserve">brilliance </w:t>
      </w:r>
      <w:r w:rsidRPr="002A7011">
        <w:t>and abundance.’</w:t>
      </w:r>
      <w:r w:rsidRPr="002A7011">
        <w:rPr>
          <w:vertAlign w:val="superscript"/>
        </w:rPr>
        <w:footnoteReference w:id="38"/>
      </w:r>
    </w:p>
    <w:p w:rsidR="00222F36" w:rsidRPr="002A7011" w:rsidRDefault="000B682F">
      <w:pPr>
        <w:spacing w:line="480" w:lineRule="auto"/>
        <w:ind w:firstLine="720"/>
      </w:pPr>
      <w:r w:rsidRPr="002A7011">
        <w:t>The historical decomposition for this sub-period can be found in Figure 7. This period is a mirror image of the previous sub-period in that the run of predominantly positive business-sentiment shocks have significant and positive impact on industrial production, the stock market, bank loans, and the credit risk spread. Industrial production is higher by seven percent than the counterfactual industrial production series, the stock market is five percent higher, bank loans are four percent higher, and the credit risk spread is twenty-eight basis point lower in October 1921. Again, this points to business-sentiment affecting the economy though the credit channel.</w:t>
      </w:r>
    </w:p>
    <w:p w:rsidR="00222F36" w:rsidRPr="002A7011" w:rsidRDefault="00222F36">
      <w:pPr>
        <w:spacing w:line="480" w:lineRule="auto"/>
        <w:ind w:firstLine="720"/>
      </w:pPr>
    </w:p>
    <w:p w:rsidR="00222F36" w:rsidRPr="002A7011" w:rsidRDefault="000B682F">
      <w:pPr>
        <w:keepNext/>
        <w:pBdr>
          <w:top w:val="nil"/>
          <w:left w:val="nil"/>
          <w:bottom w:val="nil"/>
          <w:right w:val="nil"/>
          <w:between w:val="nil"/>
        </w:pBdr>
        <w:spacing w:after="200"/>
        <w:jc w:val="center"/>
        <w:rPr>
          <w:b/>
          <w:color w:val="000000"/>
        </w:rPr>
      </w:pPr>
      <w:bookmarkStart w:id="8" w:name="_heading=h.4d34og8" w:colFirst="0" w:colLast="0"/>
      <w:bookmarkEnd w:id="8"/>
      <w:r w:rsidRPr="002A7011">
        <w:rPr>
          <w:b/>
          <w:color w:val="000000"/>
        </w:rPr>
        <w:t>Figure 7: Historical Decomposition for June 1921 to March 1922.</w:t>
      </w:r>
      <w:r w:rsidRPr="002A7011">
        <w:rPr>
          <w:b/>
          <w:color w:val="000000"/>
          <w:vertAlign w:val="superscript"/>
        </w:rPr>
        <w:t>*</w:t>
      </w:r>
    </w:p>
    <w:p w:rsidR="00222F36" w:rsidRPr="002A7011" w:rsidRDefault="000B682F">
      <w:pPr>
        <w:jc w:val="center"/>
      </w:pPr>
      <w:r w:rsidRPr="002A7011">
        <w:rPr>
          <w:noProof/>
          <w:lang w:eastAsia="en-GB"/>
        </w:rPr>
        <w:drawing>
          <wp:inline distT="0" distB="0" distL="0" distR="0">
            <wp:extent cx="4561205" cy="3646805"/>
            <wp:effectExtent l="0" t="0" r="0" b="0"/>
            <wp:docPr id="71"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39"/>
                    <a:srcRect/>
                    <a:stretch>
                      <a:fillRect/>
                    </a:stretch>
                  </pic:blipFill>
                  <pic:spPr>
                    <a:xfrm>
                      <a:off x="0" y="0"/>
                      <a:ext cx="4561205" cy="3646805"/>
                    </a:xfrm>
                    <a:prstGeom prst="rect">
                      <a:avLst/>
                    </a:prstGeom>
                    <a:ln/>
                  </pic:spPr>
                </pic:pic>
              </a:graphicData>
            </a:graphic>
          </wp:inline>
        </w:drawing>
      </w:r>
    </w:p>
    <w:p w:rsidR="00222F36" w:rsidRPr="002A7011" w:rsidRDefault="000B682F">
      <w:pPr>
        <w:pBdr>
          <w:top w:val="single" w:sz="4" w:space="1" w:color="000000"/>
        </w:pBdr>
        <w:rPr>
          <w:sz w:val="16"/>
          <w:szCs w:val="16"/>
        </w:rPr>
      </w:pPr>
      <w:r w:rsidRPr="002A7011">
        <w:rPr>
          <w:sz w:val="16"/>
          <w:szCs w:val="16"/>
        </w:rPr>
        <w:t>* Industrial production, the stock market, bank loans, and prices are normalized to equal 100 for the first date of each subperiod. The credit risk spread is measured in deviations (in basis points) from the value at the first date of each subperiod. The solid line is the actual data while the dashed line is the counterfactual series with the business-sentiment shock removed.</w:t>
      </w:r>
    </w:p>
    <w:p w:rsidR="00222F36" w:rsidRPr="002A7011" w:rsidRDefault="00222F36">
      <w:pPr>
        <w:spacing w:line="480" w:lineRule="auto"/>
      </w:pPr>
    </w:p>
    <w:p w:rsidR="00222F36" w:rsidRPr="002A7011" w:rsidRDefault="000B682F">
      <w:pPr>
        <w:spacing w:line="480" w:lineRule="auto"/>
        <w:ind w:firstLine="720"/>
      </w:pPr>
      <w:r w:rsidRPr="002A7011">
        <w:t xml:space="preserve">The next period that we investigate is the period from May to November of 1923. In May, July, and September there are large negative shocks to business-sentiment, with the July 1923 shock being the largest shock over the whole sample as seen from Figure 4. This is also the start of an official recession. Figure 8 depicts the historical decomposition for this period. The accumulated impact of these large negative business-sentiment shocks are that industrial production is  twelve percent  lower than the counterfactual series, the stock market index is nine percent lower, market index, bank loans are six percent lower, and the credit risk spread is thirty-seven basis points higher. The </w:t>
      </w:r>
    </w:p>
    <w:p w:rsidR="00222F36" w:rsidRPr="002A7011" w:rsidRDefault="00222F36"/>
    <w:p w:rsidR="00222F36" w:rsidRPr="002A7011" w:rsidRDefault="000B682F">
      <w:pPr>
        <w:keepNext/>
        <w:pBdr>
          <w:top w:val="nil"/>
          <w:left w:val="nil"/>
          <w:bottom w:val="nil"/>
          <w:right w:val="nil"/>
          <w:between w:val="nil"/>
        </w:pBdr>
        <w:spacing w:after="200"/>
        <w:jc w:val="center"/>
        <w:rPr>
          <w:b/>
          <w:color w:val="000000"/>
        </w:rPr>
      </w:pPr>
      <w:bookmarkStart w:id="9" w:name="_heading=h.2s8eyo1" w:colFirst="0" w:colLast="0"/>
      <w:bookmarkEnd w:id="9"/>
      <w:r w:rsidRPr="002A7011">
        <w:rPr>
          <w:b/>
          <w:color w:val="000000"/>
        </w:rPr>
        <w:t>Figure 8: Historical Decomposition for May 1923 to November 1923.</w:t>
      </w:r>
      <w:r w:rsidRPr="002A7011">
        <w:rPr>
          <w:b/>
          <w:color w:val="000000"/>
          <w:vertAlign w:val="superscript"/>
        </w:rPr>
        <w:t>*</w:t>
      </w:r>
    </w:p>
    <w:p w:rsidR="00222F36" w:rsidRPr="002A7011" w:rsidRDefault="000B682F">
      <w:pPr>
        <w:jc w:val="center"/>
      </w:pPr>
      <w:r w:rsidRPr="002A7011">
        <w:rPr>
          <w:noProof/>
          <w:lang w:eastAsia="en-GB"/>
        </w:rPr>
        <w:drawing>
          <wp:inline distT="0" distB="0" distL="0" distR="0">
            <wp:extent cx="4561205" cy="3646805"/>
            <wp:effectExtent l="0" t="0" r="0" b="0"/>
            <wp:docPr id="72"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40"/>
                    <a:srcRect/>
                    <a:stretch>
                      <a:fillRect/>
                    </a:stretch>
                  </pic:blipFill>
                  <pic:spPr>
                    <a:xfrm>
                      <a:off x="0" y="0"/>
                      <a:ext cx="4561205" cy="3646805"/>
                    </a:xfrm>
                    <a:prstGeom prst="rect">
                      <a:avLst/>
                    </a:prstGeom>
                    <a:ln/>
                  </pic:spPr>
                </pic:pic>
              </a:graphicData>
            </a:graphic>
          </wp:inline>
        </w:drawing>
      </w:r>
    </w:p>
    <w:p w:rsidR="00222F36" w:rsidRPr="002A7011" w:rsidRDefault="000B682F">
      <w:pPr>
        <w:pBdr>
          <w:top w:val="single" w:sz="4" w:space="1" w:color="000000"/>
        </w:pBdr>
      </w:pPr>
      <w:r w:rsidRPr="002A7011">
        <w:rPr>
          <w:sz w:val="20"/>
          <w:szCs w:val="20"/>
        </w:rPr>
        <w:t xml:space="preserve">* </w:t>
      </w:r>
      <w:r w:rsidRPr="002A7011">
        <w:rPr>
          <w:sz w:val="16"/>
          <w:szCs w:val="16"/>
        </w:rPr>
        <w:t>Industrial production, the stock market, bank loans, and prices are normalized to equal 100 for the first date of each subperiod. The credit risk spread is measured in deviations (in basis points) from the value at the first date of each subperiod. The solid line is the actual data while the dashed line is the counterfactual series with the business-sentiment shock removed.</w:t>
      </w:r>
    </w:p>
    <w:p w:rsidR="00222F36" w:rsidRPr="002A7011" w:rsidRDefault="00222F36"/>
    <w:p w:rsidR="00222F36" w:rsidRPr="002A7011" w:rsidRDefault="000B682F">
      <w:pPr>
        <w:spacing w:line="480" w:lineRule="auto"/>
      </w:pPr>
      <w:r w:rsidRPr="002A7011">
        <w:t>historical decompositions reported in Figure 8 all show that the negative sentiment shocks had a significant and negative effect on the economy.</w:t>
      </w:r>
    </w:p>
    <w:p w:rsidR="00222F36" w:rsidRPr="002A7011" w:rsidRDefault="000B682F">
      <w:pPr>
        <w:spacing w:line="480" w:lineRule="auto"/>
      </w:pPr>
      <w:bookmarkStart w:id="10" w:name="_heading=h.17dp8vu" w:colFirst="0" w:colLast="0"/>
      <w:bookmarkEnd w:id="10"/>
      <w:r w:rsidRPr="002A7011">
        <w:tab/>
        <w:t xml:space="preserve">These sentiment shocks relate very clearly to conditions in Europe. A characteristic piece in the WSJ, the highest “avoidance” rated piece in July 1923, the month of the greatest negative shock, was a report on the return to the U.S. of Oscar W. Underwood, Democratic Senator from Alabama, and two times a serious contender for the Presidency, who spent four months in Europe observing economic and political conditions: ‘most. like myself, have failed to realize how exhausted by war are many of the nations of Europe, both as to </w:t>
      </w:r>
      <w:r w:rsidRPr="002A7011">
        <w:lastRenderedPageBreak/>
        <w:t xml:space="preserve">governmental finance and private endeavour. There is a hectic business development along certain lines, but it more largely comes from the money of the profiteer. … Stability of government is almost as </w:t>
      </w:r>
      <w:r w:rsidRPr="002A7011">
        <w:rPr>
          <w:i/>
        </w:rPr>
        <w:t>uncertain</w:t>
      </w:r>
      <w:r w:rsidRPr="002A7011">
        <w:t xml:space="preserve"> as stability of finance. In one country it may be a near revolution that </w:t>
      </w:r>
      <w:r w:rsidRPr="002A7011">
        <w:rPr>
          <w:i/>
        </w:rPr>
        <w:t>threatens</w:t>
      </w:r>
      <w:r w:rsidRPr="002A7011">
        <w:t>, in another a change of ministry, but in either event the government working under such conditions is generally weak, and drifting from day to day without effective policy for the future, instead of moving forward to a goal that can be won by political courage with a definite policy.’ In addition, Underwood then complained that American policy was unhelpful: ‘We seem to be just observing and drifting.’</w:t>
      </w:r>
      <w:r w:rsidRPr="002A7011">
        <w:rPr>
          <w:vertAlign w:val="superscript"/>
        </w:rPr>
        <w:footnoteReference w:id="39"/>
      </w:r>
      <w:r w:rsidRPr="002A7011">
        <w:t xml:space="preserve"> The case is not that the European misery was hurting America directly, but that it was dragging down business-sentiment. </w:t>
      </w:r>
    </w:p>
    <w:p w:rsidR="00222F36" w:rsidRPr="002A7011" w:rsidRDefault="000B682F">
      <w:pPr>
        <w:spacing w:line="480" w:lineRule="auto"/>
        <w:ind w:firstLine="720"/>
      </w:pPr>
      <w:r w:rsidRPr="002A7011">
        <w:t xml:space="preserve">The year 1926, in which growth was generally sustained and resilient, provides some interesting examples of how sentiment shocks affect economic outcomes. Starting in May 1926 and ending in August 1926, there is a surge in our business-sentiment index, culminating in a large positive business-sentiment shock in both July and August of 1926. However, in September 1926 there is an almost equally as large negative business-sentiment shock that lasts for two months, as can be seen in Figure 4. </w:t>
      </w:r>
    </w:p>
    <w:p w:rsidR="00222F36" w:rsidRPr="002A7011" w:rsidRDefault="000B682F">
      <w:pPr>
        <w:spacing w:line="480" w:lineRule="auto"/>
      </w:pPr>
      <w:r w:rsidRPr="002A7011">
        <w:tab/>
        <w:t xml:space="preserve"> The impact of the large swings in business-sentiment can be seen in the historical decompositions depicted in Figure 9. The impact of the positive business-sentiment shock in July and August is profound. In fact, had it not been for the business-sentiment shock in July and August, business-sentiment would </w:t>
      </w:r>
      <w:r w:rsidRPr="002A7011">
        <w:lastRenderedPageBreak/>
        <w:t xml:space="preserve">have fallen. The same is observed for industrial production. The actual industrial production series continues its upward trend from August to </w:t>
      </w:r>
    </w:p>
    <w:p w:rsidR="00222F36" w:rsidRPr="002A7011" w:rsidRDefault="000B682F">
      <w:pPr>
        <w:keepNext/>
        <w:pBdr>
          <w:top w:val="nil"/>
          <w:left w:val="nil"/>
          <w:bottom w:val="nil"/>
          <w:right w:val="nil"/>
          <w:between w:val="nil"/>
        </w:pBdr>
        <w:spacing w:after="200"/>
        <w:jc w:val="center"/>
        <w:rPr>
          <w:b/>
          <w:color w:val="000000"/>
        </w:rPr>
      </w:pPr>
      <w:bookmarkStart w:id="11" w:name="_heading=h.3rdcrjn" w:colFirst="0" w:colLast="0"/>
      <w:bookmarkEnd w:id="11"/>
      <w:r w:rsidRPr="002A7011">
        <w:rPr>
          <w:b/>
          <w:color w:val="000000"/>
        </w:rPr>
        <w:t>Figure 9: Historical Decomposition for February 1926 to April 1927.</w:t>
      </w:r>
      <w:r w:rsidRPr="002A7011">
        <w:rPr>
          <w:b/>
          <w:color w:val="000000"/>
          <w:vertAlign w:val="superscript"/>
        </w:rPr>
        <w:t>*</w:t>
      </w:r>
    </w:p>
    <w:p w:rsidR="00222F36" w:rsidRPr="002A7011" w:rsidRDefault="000B682F">
      <w:pPr>
        <w:jc w:val="center"/>
      </w:pPr>
      <w:r w:rsidRPr="002A7011">
        <w:rPr>
          <w:noProof/>
          <w:lang w:eastAsia="en-GB"/>
        </w:rPr>
        <w:drawing>
          <wp:inline distT="0" distB="0" distL="0" distR="0">
            <wp:extent cx="4561205" cy="3646805"/>
            <wp:effectExtent l="0" t="0" r="0" b="0"/>
            <wp:docPr id="56"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41"/>
                    <a:srcRect/>
                    <a:stretch>
                      <a:fillRect/>
                    </a:stretch>
                  </pic:blipFill>
                  <pic:spPr>
                    <a:xfrm>
                      <a:off x="0" y="0"/>
                      <a:ext cx="4561205" cy="3646805"/>
                    </a:xfrm>
                    <a:prstGeom prst="rect">
                      <a:avLst/>
                    </a:prstGeom>
                    <a:ln/>
                  </pic:spPr>
                </pic:pic>
              </a:graphicData>
            </a:graphic>
          </wp:inline>
        </w:drawing>
      </w:r>
    </w:p>
    <w:p w:rsidR="00222F36" w:rsidRPr="002A7011" w:rsidRDefault="000B682F">
      <w:pPr>
        <w:pBdr>
          <w:top w:val="single" w:sz="4" w:space="1" w:color="000000"/>
        </w:pBdr>
        <w:rPr>
          <w:sz w:val="16"/>
          <w:szCs w:val="16"/>
        </w:rPr>
      </w:pPr>
      <w:r w:rsidRPr="002A7011">
        <w:rPr>
          <w:sz w:val="20"/>
          <w:szCs w:val="20"/>
        </w:rPr>
        <w:t xml:space="preserve">* </w:t>
      </w:r>
      <w:r w:rsidRPr="002A7011">
        <w:rPr>
          <w:sz w:val="16"/>
          <w:szCs w:val="16"/>
        </w:rPr>
        <w:t>Industrial production, the stock market, bank loans, and prices are normalized to equal 100 for the first date of each subperiod. The credit risk spread is measured in deviations (in basis points) from the value at the first date of each subperiod. The solid line is the actual data while the dashed line is the counterfactual series with the business-sentiment shock removed.</w:t>
      </w:r>
    </w:p>
    <w:p w:rsidR="00222F36" w:rsidRPr="002A7011" w:rsidRDefault="00222F36"/>
    <w:p w:rsidR="00222F36" w:rsidRPr="002A7011" w:rsidRDefault="000B682F">
      <w:pPr>
        <w:spacing w:line="480" w:lineRule="auto"/>
      </w:pPr>
      <w:r w:rsidRPr="002A7011">
        <w:t xml:space="preserve">September, whereas the red counterfactual series shows industrial production declining during this period. Had it not been for the positive business-sentiment shock in August it appears that industrial production should have fallen. The gap between the actual industrial production and the counterfactual industrial production is maximized in October and is equal to three percent. At the same time, the stock market index is three percent higher than the counterfactual series and the bank loans is about one percent higher than the counterfactual value. The credit risk spread is also impacted by the business-sentiment shock </w:t>
      </w:r>
      <w:r w:rsidRPr="002A7011">
        <w:lastRenderedPageBreak/>
        <w:t>in August. The actual credit risk spread is flat throughout the latter part of 1926 whereas the counterfactual credit risk spread series is nineteen and a half basis points higher than the actual spread.</w:t>
      </w:r>
    </w:p>
    <w:p w:rsidR="00222F36" w:rsidRPr="002A7011" w:rsidRDefault="000B682F">
      <w:pPr>
        <w:spacing w:line="480" w:lineRule="auto"/>
        <w:ind w:firstLine="720"/>
      </w:pPr>
      <w:r w:rsidRPr="002A7011">
        <w:t>The model predicts that, had it not been for the large positive business-sentiment shock in August, the economy would have had a sharp negative correction. In September, there is a sharp negative business-sentiment shock and this shock has the opposite effect on the variables of the model. Actual industrial production falls whereas the counterfactual series would have risen. By the end of 1926, the impact of the two, opposing business-sentiment shocks, have cancelled each other out.</w:t>
      </w:r>
    </w:p>
    <w:p w:rsidR="00222F36" w:rsidRPr="002A7011" w:rsidRDefault="000B682F">
      <w:pPr>
        <w:spacing w:line="480" w:lineRule="auto"/>
      </w:pPr>
      <w:r w:rsidRPr="002A7011">
        <w:tab/>
        <w:t xml:space="preserve"> This is an interesting period, as the impact of the business-sentiment shock appears to be sharp but short-lived. In the summer (June through August), there was a general level of anxiety about events in Europe, especially the currency problems in Belgium and France, but this is more than made up by positive news. The positive news is dominated by stories about railroads and crops, i.e. about the events driving the US domestic economy. During this period, there are many articles containing a high number of approach words that refer to record crop yields in the upper plains and high profits for railroads, especially the Great-Northern railroad. Also during this time there are articles extolling the soundness and competitiveness of the US economy. There is also a notably high degree of triumphalism. </w:t>
      </w:r>
    </w:p>
    <w:p w:rsidR="00222F36" w:rsidRPr="002A7011" w:rsidRDefault="000B682F">
      <w:pPr>
        <w:spacing w:line="480" w:lineRule="auto"/>
        <w:ind w:firstLine="720"/>
      </w:pPr>
      <w:r w:rsidRPr="002A7011">
        <w:t>An ecstatic article on the way foreign countries perceived the 150</w:t>
      </w:r>
      <w:r w:rsidRPr="002A7011">
        <w:rPr>
          <w:vertAlign w:val="superscript"/>
        </w:rPr>
        <w:t>th</w:t>
      </w:r>
      <w:r w:rsidRPr="002A7011">
        <w:t xml:space="preserve"> anniversary of the Declaration of Independence, for instance, commented on ‘the </w:t>
      </w:r>
      <w:r w:rsidRPr="002A7011">
        <w:rPr>
          <w:i/>
        </w:rPr>
        <w:t>amazing</w:t>
      </w:r>
      <w:r w:rsidRPr="002A7011">
        <w:t xml:space="preserve"> progress that has been made by the United States’ and details of </w:t>
      </w:r>
      <w:r w:rsidRPr="002A7011">
        <w:lastRenderedPageBreak/>
        <w:t>the ‘</w:t>
      </w:r>
      <w:r w:rsidRPr="002A7011">
        <w:rPr>
          <w:i/>
        </w:rPr>
        <w:t xml:space="preserve">incredible </w:t>
      </w:r>
      <w:r w:rsidRPr="002A7011">
        <w:t>total’ of American wealth: ‘Articles are appearing in the British press describing the money glut in the United States-the vast hoard of more than half the gold of the world. The American government has a</w:t>
      </w:r>
      <w:r w:rsidRPr="002A7011">
        <w:rPr>
          <w:b/>
        </w:rPr>
        <w:t xml:space="preserve"> </w:t>
      </w:r>
      <w:r w:rsidRPr="002A7011">
        <w:t xml:space="preserve">surplus of $350,000,000, says the daily press, while the British government has a deficit of at least $100,000,000.’ </w:t>
      </w:r>
      <w:r w:rsidRPr="002A7011">
        <w:rPr>
          <w:vertAlign w:val="superscript"/>
        </w:rPr>
        <w:footnoteReference w:id="40"/>
      </w:r>
      <w:r w:rsidRPr="002A7011">
        <w:t xml:space="preserve"> The story with the highest approach rating starts with a celebration of United States Steel’s ‘</w:t>
      </w:r>
      <w:r w:rsidRPr="002A7011">
        <w:rPr>
          <w:i/>
        </w:rPr>
        <w:t>brilliant</w:t>
      </w:r>
      <w:r w:rsidRPr="002A7011">
        <w:t xml:space="preserve"> performance.’</w:t>
      </w:r>
      <w:r w:rsidRPr="002A7011">
        <w:rPr>
          <w:vertAlign w:val="superscript"/>
        </w:rPr>
        <w:footnoteReference w:id="41"/>
      </w:r>
      <w:r w:rsidRPr="002A7011">
        <w:t xml:space="preserve"> However, there is no one unifying theme in this triumphalism suggesting that the run up of business-sentiment during the middle of 1926 reflects a surge in sentiment rather than being the result of any specific news.</w:t>
      </w:r>
    </w:p>
    <w:p w:rsidR="00222F36" w:rsidRPr="002A7011" w:rsidRDefault="000B682F">
      <w:pPr>
        <w:spacing w:line="480" w:lineRule="auto"/>
        <w:ind w:firstLine="720"/>
      </w:pPr>
      <w:r w:rsidRPr="002A7011">
        <w:t>In September, 1926 there followed an equally sizeable negative business-sentiment shock, with worries about US trade performance and competitiveness, as exports to Canada and Germany produced gold outflows from the US.</w:t>
      </w:r>
      <w:r w:rsidRPr="002A7011">
        <w:rPr>
          <w:vertAlign w:val="superscript"/>
        </w:rPr>
        <w:footnoteReference w:id="42"/>
      </w:r>
      <w:r w:rsidRPr="002A7011">
        <w:t xml:space="preserve"> Interestingly, the article that is top in avoidance terms concerned allegations of market manipulation through the press – the </w:t>
      </w:r>
      <w:r w:rsidRPr="002A7011">
        <w:rPr>
          <w:i/>
        </w:rPr>
        <w:t xml:space="preserve">Wall Street Journal </w:t>
      </w:r>
      <w:r w:rsidRPr="002A7011">
        <w:t xml:space="preserve">and the Dow Jones ticker. C. W. Barron, the president of Dow Jones, assured the readers of his newspaper that he had never had occasion to sack any reporter for ‘faithlessness.’ </w:t>
      </w:r>
      <w:r w:rsidRPr="002A7011">
        <w:rPr>
          <w:vertAlign w:val="superscript"/>
        </w:rPr>
        <w:footnoteReference w:id="43"/>
      </w:r>
      <w:r w:rsidRPr="002A7011">
        <w:t xml:space="preserve"> There is also discussion of bad weather in Texas and </w:t>
      </w:r>
      <w:r w:rsidRPr="002A7011">
        <w:lastRenderedPageBreak/>
        <w:t xml:space="preserve">disease and pestilence in the cotton crop. This period provides an example of a short sharp bout of enthusiasm followed by what appears to be an overreaction the other way. The impact on industrial production is short and sharp as well. The overall impact is about four percent with a short increase in when the counterfactual series suggests industrial production should have gone the other way. </w:t>
      </w:r>
    </w:p>
    <w:p w:rsidR="00222F36" w:rsidRPr="002A7011" w:rsidRDefault="000B682F">
      <w:pPr>
        <w:spacing w:line="480" w:lineRule="auto"/>
        <w:ind w:firstLine="720"/>
      </w:pPr>
      <w:r w:rsidRPr="002A7011">
        <w:t xml:space="preserve">Then there are two large negative sentiment shocks at the same time fundamentals would suggest an increase in industrial production was likely. Actual industrial production fell when the counterfactual industrial production series, where the sentiment shocks are set to zero, was rising. We also see the stock market index rising slower than what would have been predicted without the sentiment shocks and we see that the credit risk spread would have been substantially lower had it not been for the negative business-sentiment shocks in September and October. </w:t>
      </w:r>
    </w:p>
    <w:p w:rsidR="00222F36" w:rsidRPr="002A7011" w:rsidRDefault="000B682F">
      <w:pPr>
        <w:spacing w:line="480" w:lineRule="auto"/>
        <w:ind w:firstLine="720"/>
      </w:pPr>
      <w:r w:rsidRPr="002A7011">
        <w:t xml:space="preserve">The turn to a strong negative business-sentiment shock in September and October 1926 well illustrates the way in which it is not specific news, but rather general doubts, often about market integrity, that pulled down investor spirits. Some of the shock came simply from the technical operation of the market and the constraints on credit it imposed. Thus at the end of September there was heavy calling of loans, and ‘stocks dragged through another day of </w:t>
      </w:r>
      <w:r w:rsidRPr="002A7011">
        <w:rPr>
          <w:i/>
        </w:rPr>
        <w:t>uncertainty</w:t>
      </w:r>
      <w:r w:rsidRPr="002A7011">
        <w:t xml:space="preserve"> as a result of heavy requisitions for money in connection with October first settlements.’ There was in consequence ‘a heavy drain on credit </w:t>
      </w:r>
      <w:r w:rsidRPr="002A7011">
        <w:lastRenderedPageBreak/>
        <w:t>available for speculative purposes.’ It led, considerable selling of stocks carried on margin.</w:t>
      </w:r>
      <w:r w:rsidRPr="002A7011">
        <w:rPr>
          <w:vertAlign w:val="superscript"/>
        </w:rPr>
        <w:footnoteReference w:id="44"/>
      </w:r>
      <w:r w:rsidRPr="002A7011">
        <w:t xml:space="preserve"> </w:t>
      </w:r>
    </w:p>
    <w:p w:rsidR="00222F36" w:rsidRPr="002A7011" w:rsidRDefault="000B682F">
      <w:pPr>
        <w:spacing w:line="480" w:lineRule="auto"/>
      </w:pPr>
      <w:r w:rsidRPr="002A7011">
        <w:t xml:space="preserve"> </w:t>
      </w:r>
      <w:r w:rsidRPr="002A7011">
        <w:tab/>
        <w:t xml:space="preserve">The more interesting articles, and ones that score highest in negative sentiment, looked at accusations that the market was being rigged. On this issue, the WSJ was generally defensive, and argued that the charges were ill-founded; but it is plausible that just the discussion of the issue sowed seeds of doubt. Thus, for instance the highest-ranking article in avoidance in September 1926 was an interview with B.C. (Bertie Charles) Forbes, the founder of </w:t>
      </w:r>
      <w:r w:rsidRPr="002A7011">
        <w:rPr>
          <w:i/>
        </w:rPr>
        <w:t>Forbes Magazine</w:t>
      </w:r>
      <w:r w:rsidRPr="002A7011">
        <w:t>, over the handling in WSJ of an interview with JP Morgan partner Thomas Cochran, and claims that the newspaper had tried to manipulate stock in the financial interest of its writers or staff. Forbes gave a forceful defense, but perhaps protested too much: ‘I have trained the Dow-Jones staff over many years; and if a single member of it was faithless to his trust, or gave any subscriber an advantage over any other subscriber, or in any way used his information for private personal gain, he would be shunned by his associates ever before he would be by me decapitated. I am happy to say that I do not recall ever having to discharge a reporter in any city for faithlessness to his trust as a financial journalist.’</w:t>
      </w:r>
      <w:r w:rsidRPr="002A7011">
        <w:rPr>
          <w:vertAlign w:val="superscript"/>
        </w:rPr>
        <w:footnoteReference w:id="45"/>
      </w:r>
      <w:r w:rsidRPr="002A7011">
        <w:t xml:space="preserve"> The second highest in avoidance terms in September was also an article about accusations of market manipulation, this time by the oil </w:t>
      </w:r>
      <w:r w:rsidRPr="002A7011">
        <w:lastRenderedPageBreak/>
        <w:t xml:space="preserve">industry after the Attorney General of Texas brought a suit against the Marland Oil Co. </w:t>
      </w:r>
      <w:r w:rsidRPr="002A7011">
        <w:rPr>
          <w:vertAlign w:val="superscript"/>
        </w:rPr>
        <w:footnoteReference w:id="46"/>
      </w:r>
    </w:p>
    <w:p w:rsidR="00222F36" w:rsidRPr="002A7011" w:rsidRDefault="000B682F">
      <w:pPr>
        <w:spacing w:line="480" w:lineRule="auto"/>
        <w:ind w:firstLine="720"/>
      </w:pPr>
      <w:r w:rsidRPr="002A7011">
        <w:t xml:space="preserve">The same debate was at the top of the negative articles in October 1926 that delivered yet a new sentiment shock. ‘Corporate publicity, as a question affecting the investor in securities, looms largely in the public eye today. This is due to a great extent to the articles by Professor William Z. Ripley who has been attacking such corporations as </w:t>
      </w:r>
      <w:r w:rsidRPr="002A7011">
        <w:rPr>
          <w:i/>
        </w:rPr>
        <w:t xml:space="preserve">fail </w:t>
      </w:r>
      <w:r w:rsidRPr="002A7011">
        <w:t xml:space="preserve">[sic] to give their stockholders and the investing public at large a full account of their activities and financial standing.’ Again, the WSJ attempted a defense of corporations against the charges of rigging: ‘The work of the stock exchange making for fuller information for stockholders has not won the praise it deserves; in fact, the exchange often has been for its </w:t>
      </w:r>
      <w:r w:rsidRPr="002A7011">
        <w:rPr>
          <w:i/>
        </w:rPr>
        <w:t>failure</w:t>
      </w:r>
      <w:r w:rsidRPr="002A7011">
        <w:t xml:space="preserve"> to insist on such publicity. These criticisms have been due for the most part to the fact that few people understand the limitations under which the exchange naturally operates, or are aware of the efforts it has made and is still making.’</w:t>
      </w:r>
      <w:r w:rsidRPr="002A7011">
        <w:rPr>
          <w:vertAlign w:val="superscript"/>
        </w:rPr>
        <w:footnoteReference w:id="47"/>
      </w:r>
      <w:r w:rsidRPr="002A7011">
        <w:t xml:space="preserve">  There were similar discussions of accusations that the major houses were manipulating the bond market, and again the WSJ was defensive: ‘some of the agitation has no relation whatever to the question of helpfulness to the corporation but is rather a poorly disguised attempt to handicap larger banking houses, which by years of active counsel and work </w:t>
      </w:r>
      <w:r w:rsidRPr="002A7011">
        <w:lastRenderedPageBreak/>
        <w:t xml:space="preserve">have acquired the designation of bankers for this or that company, with the pretence also of aiding the smaller houses.’ </w:t>
      </w:r>
      <w:r w:rsidRPr="002A7011">
        <w:rPr>
          <w:vertAlign w:val="superscript"/>
        </w:rPr>
        <w:footnoteReference w:id="48"/>
      </w:r>
    </w:p>
    <w:p w:rsidR="00222F36" w:rsidRPr="002A7011" w:rsidRDefault="000B682F">
      <w:pPr>
        <w:spacing w:line="480" w:lineRule="auto"/>
        <w:ind w:firstLine="720"/>
      </w:pPr>
      <w:r w:rsidRPr="002A7011">
        <w:t xml:space="preserve">The period leading up to the October 1929 crash is of particular interest. From April to August of 1928 there are a run of moderately sized positive sentiment shocks. Then starting in February 1929 through July 1929 there are a run of large negative sentiment shocks with the largest negative sentiment-shock occurring in May 1929. </w:t>
      </w:r>
    </w:p>
    <w:p w:rsidR="00222F36" w:rsidRPr="002A7011" w:rsidRDefault="000B682F">
      <w:pPr>
        <w:spacing w:line="480" w:lineRule="auto"/>
        <w:ind w:firstLine="720"/>
      </w:pPr>
      <w:r w:rsidRPr="002A7011">
        <w:t>Finally, the foreign themes appeared again, with articles that defended the status quo against doubts or pessimism scoring high. The WSJ thus relayed a report of a prominent banker, Henry M. Robinson, President of First National Bank of Los Angeles, denying that the reparations settlement was unsustainable, producing an article whose ostensible message was upbeat or comforting. ‘It is rather surprising that bankers and economists in the United States should be expressing opinions to the effect that there must be a revision of the Dawes Plan, when the Agent General’s report gives them nothing on which to base their assertions.’</w:t>
      </w:r>
      <w:r w:rsidRPr="002A7011">
        <w:rPr>
          <w:vertAlign w:val="superscript"/>
        </w:rPr>
        <w:footnoteReference w:id="49"/>
      </w:r>
      <w:r w:rsidRPr="002A7011">
        <w:t xml:space="preserve"> Just the discussion of uncertainties was sufficient to engender market nervousness.</w:t>
      </w:r>
    </w:p>
    <w:p w:rsidR="00222F36" w:rsidRPr="002A7011" w:rsidRDefault="000B682F">
      <w:pPr>
        <w:spacing w:line="480" w:lineRule="auto"/>
      </w:pPr>
      <w:bookmarkStart w:id="12" w:name="_heading=h.26in1rg" w:colFirst="0" w:colLast="0"/>
      <w:bookmarkEnd w:id="12"/>
      <w:r w:rsidRPr="002A7011">
        <w:tab/>
        <w:t xml:space="preserve">The historical decomposition for the period from April 1928 to December 1928 can be found in Figure 10. The run of positive business- sentiment in the middle of 1928 can be seen to have impacted industrial production, the stock market, bank loans, and the credit risk spread </w:t>
      </w:r>
      <w:r w:rsidRPr="002A7011">
        <w:lastRenderedPageBreak/>
        <w:t xml:space="preserve">considerably. By December 1928, the accumulated impact of the positive sentiment shocks amount to a difference of nine percent for industrial production, six percent for the stock market index, four and a half percent for  bank loans, and twenty-nine basis points for the credit risk spread. Had it not been for the positive sentiment in the middle of 1928, industrial production would have been flat while the credit risk spread would have risen sharply. </w:t>
      </w:r>
    </w:p>
    <w:p w:rsidR="00222F36" w:rsidRPr="002A7011" w:rsidRDefault="000B682F">
      <w:pPr>
        <w:keepNext/>
        <w:spacing w:line="480" w:lineRule="auto"/>
        <w:ind w:firstLine="720"/>
        <w:jc w:val="center"/>
        <w:rPr>
          <w:b/>
          <w:color w:val="000000"/>
        </w:rPr>
      </w:pPr>
      <w:r w:rsidRPr="002A7011">
        <w:rPr>
          <w:b/>
          <w:color w:val="000000"/>
        </w:rPr>
        <w:t>Figure 10: Historical Decomposition for April 1928 to December 1928.</w:t>
      </w:r>
      <w:r w:rsidRPr="002A7011">
        <w:rPr>
          <w:b/>
          <w:color w:val="000000"/>
          <w:vertAlign w:val="superscript"/>
        </w:rPr>
        <w:t>*</w:t>
      </w:r>
    </w:p>
    <w:p w:rsidR="00222F36" w:rsidRPr="002A7011" w:rsidRDefault="000B682F">
      <w:pPr>
        <w:jc w:val="center"/>
      </w:pPr>
      <w:r w:rsidRPr="002A7011">
        <w:rPr>
          <w:noProof/>
          <w:lang w:eastAsia="en-GB"/>
        </w:rPr>
        <w:drawing>
          <wp:inline distT="0" distB="0" distL="0" distR="0">
            <wp:extent cx="4561205" cy="3646805"/>
            <wp:effectExtent l="0" t="0" r="0" b="0"/>
            <wp:docPr id="57"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42"/>
                    <a:srcRect/>
                    <a:stretch>
                      <a:fillRect/>
                    </a:stretch>
                  </pic:blipFill>
                  <pic:spPr>
                    <a:xfrm>
                      <a:off x="0" y="0"/>
                      <a:ext cx="4561205" cy="3646805"/>
                    </a:xfrm>
                    <a:prstGeom prst="rect">
                      <a:avLst/>
                    </a:prstGeom>
                    <a:ln/>
                  </pic:spPr>
                </pic:pic>
              </a:graphicData>
            </a:graphic>
          </wp:inline>
        </w:drawing>
      </w:r>
    </w:p>
    <w:p w:rsidR="00222F36" w:rsidRPr="002A7011" w:rsidRDefault="000B682F">
      <w:pPr>
        <w:pBdr>
          <w:top w:val="single" w:sz="4" w:space="1" w:color="000000"/>
        </w:pBdr>
        <w:rPr>
          <w:sz w:val="16"/>
          <w:szCs w:val="16"/>
        </w:rPr>
      </w:pPr>
      <w:r w:rsidRPr="002A7011">
        <w:rPr>
          <w:sz w:val="20"/>
          <w:szCs w:val="20"/>
        </w:rPr>
        <w:t xml:space="preserve">* </w:t>
      </w:r>
      <w:r w:rsidRPr="002A7011">
        <w:rPr>
          <w:sz w:val="16"/>
          <w:szCs w:val="16"/>
        </w:rPr>
        <w:t>Industrial production, the stock market, bank loans, and prices are normalized to equal 100 for the first date of each subperiod. The credit risk spread is measured in deviations (in basis points) from the value at the first date of each subperiod. The solid line is the actual data while the dashed line is the counterfactual series with the business-sentiment shock removed.</w:t>
      </w:r>
    </w:p>
    <w:p w:rsidR="00222F36" w:rsidRPr="002A7011" w:rsidRDefault="00222F36">
      <w:pPr>
        <w:spacing w:line="480" w:lineRule="auto"/>
      </w:pPr>
    </w:p>
    <w:p w:rsidR="00222F36" w:rsidRPr="002A7011" w:rsidRDefault="000B682F">
      <w:pPr>
        <w:spacing w:line="480" w:lineRule="auto"/>
        <w:ind w:firstLine="720"/>
      </w:pPr>
      <w:r w:rsidRPr="002A7011">
        <w:t xml:space="preserve">As shown in Figure 4, there are large negative business-sentiment shocks in the first half of 1929 with the largest negative shocks occurring in </w:t>
      </w:r>
    </w:p>
    <w:p w:rsidR="00222F36" w:rsidRPr="002A7011" w:rsidRDefault="000B682F">
      <w:pPr>
        <w:spacing w:line="480" w:lineRule="auto"/>
      </w:pPr>
      <w:r w:rsidRPr="002A7011">
        <w:lastRenderedPageBreak/>
        <w:t xml:space="preserve">February, March, and May of 1929. The historical decomposition for this period can be found in Figure 11. It can be seen that the run of negative business-sentiment shocks in early 1929 had the effect of dampening industrial production. By September 1929, industrial output was three percent lower than the counterfactual series. The overall shape of the actual and counterfactual series were the same but had it not been for the negative business-sentiment shocks, industrial production would have been lower. The stock market and </w:t>
      </w:r>
    </w:p>
    <w:p w:rsidR="00222F36" w:rsidRPr="002A7011" w:rsidRDefault="000B682F">
      <w:pPr>
        <w:keepNext/>
        <w:pBdr>
          <w:top w:val="nil"/>
          <w:left w:val="nil"/>
          <w:bottom w:val="nil"/>
          <w:right w:val="nil"/>
          <w:between w:val="nil"/>
        </w:pBdr>
        <w:spacing w:after="200"/>
        <w:jc w:val="center"/>
        <w:rPr>
          <w:b/>
          <w:color w:val="000000"/>
        </w:rPr>
      </w:pPr>
      <w:bookmarkStart w:id="13" w:name="_heading=h.35nkun2" w:colFirst="0" w:colLast="0"/>
      <w:bookmarkEnd w:id="13"/>
      <w:r w:rsidRPr="002A7011">
        <w:rPr>
          <w:b/>
          <w:color w:val="000000"/>
        </w:rPr>
        <w:t>Figure 11: Historical Decomposition for January 1929 to December 1929.</w:t>
      </w:r>
      <w:r w:rsidRPr="002A7011">
        <w:rPr>
          <w:b/>
          <w:color w:val="000000"/>
          <w:vertAlign w:val="superscript"/>
        </w:rPr>
        <w:t>*</w:t>
      </w:r>
    </w:p>
    <w:p w:rsidR="00222F36" w:rsidRPr="002A7011" w:rsidRDefault="000B682F">
      <w:pPr>
        <w:jc w:val="center"/>
      </w:pPr>
      <w:r w:rsidRPr="002A7011">
        <w:rPr>
          <w:noProof/>
          <w:lang w:eastAsia="en-GB"/>
        </w:rPr>
        <w:drawing>
          <wp:inline distT="0" distB="0" distL="0" distR="0">
            <wp:extent cx="4561205" cy="3646805"/>
            <wp:effectExtent l="0" t="0" r="0" b="0"/>
            <wp:docPr id="58"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43"/>
                    <a:srcRect/>
                    <a:stretch>
                      <a:fillRect/>
                    </a:stretch>
                  </pic:blipFill>
                  <pic:spPr>
                    <a:xfrm>
                      <a:off x="0" y="0"/>
                      <a:ext cx="4561205" cy="3646805"/>
                    </a:xfrm>
                    <a:prstGeom prst="rect">
                      <a:avLst/>
                    </a:prstGeom>
                    <a:ln/>
                  </pic:spPr>
                </pic:pic>
              </a:graphicData>
            </a:graphic>
          </wp:inline>
        </w:drawing>
      </w:r>
    </w:p>
    <w:p w:rsidR="00222F36" w:rsidRPr="002A7011" w:rsidRDefault="000B682F">
      <w:pPr>
        <w:pBdr>
          <w:top w:val="single" w:sz="4" w:space="1" w:color="000000"/>
        </w:pBdr>
        <w:rPr>
          <w:sz w:val="16"/>
          <w:szCs w:val="16"/>
        </w:rPr>
      </w:pPr>
      <w:r w:rsidRPr="002A7011">
        <w:rPr>
          <w:sz w:val="20"/>
          <w:szCs w:val="20"/>
        </w:rPr>
        <w:t xml:space="preserve">* </w:t>
      </w:r>
      <w:r w:rsidRPr="002A7011">
        <w:rPr>
          <w:sz w:val="16"/>
          <w:szCs w:val="16"/>
        </w:rPr>
        <w:t>Industrial production, the stock market, bank loans, and prices are normalized to equal 100 for the first date of each subperiod. The credit risk spread is measured in deviations (in basis points) from the value at the first date of each subperiod. The solid line is the actual data while the dashed line is the counterfactual series with the business-sentiment shock removed.</w:t>
      </w:r>
    </w:p>
    <w:p w:rsidR="00222F36" w:rsidRPr="002A7011" w:rsidRDefault="00222F36"/>
    <w:p w:rsidR="00222F36" w:rsidRPr="002A7011" w:rsidRDefault="000B682F">
      <w:pPr>
        <w:spacing w:line="480" w:lineRule="auto"/>
      </w:pPr>
      <w:r w:rsidRPr="002A7011">
        <w:t xml:space="preserve">bank loans were also lower by two and a half percent and one percent respectively. The credit risk spread was higher by seven basis points compared </w:t>
      </w:r>
      <w:r w:rsidRPr="002A7011">
        <w:lastRenderedPageBreak/>
        <w:t>to the counterfactual. The impact of the negative business-sentiment shocks was to steadily raise the cost of bond financing for Baa-rated firms.</w:t>
      </w:r>
    </w:p>
    <w:p w:rsidR="00222F36" w:rsidRPr="002A7011" w:rsidRDefault="000B682F">
      <w:pPr>
        <w:spacing w:line="480" w:lineRule="auto"/>
        <w:ind w:firstLine="720"/>
      </w:pPr>
      <w:r w:rsidRPr="002A7011">
        <w:t>With one exception, in February 1929, the lead-up to the dramatic stock market events is punctuated less by worries about bad or dangerous developments than by a cooling of enthusiasm, a diminution of the grounds for any euphoria. There was a shortage of any general optimistic vision. In February 1929, there was a surge of avoidance terms, mostly associated with the Federal Reserve’s restriction of broker loans. The daily “Abreast of the Market” market gossip and news column of February 11 explained that: “Sentiment generally continues pessimistic. There is a feeling that the latest warning of the Federal Reserve Board has attracted more attention than those of the past month and as a result, a general tendency to clean house is noted, particularly among those outsiders who have been outspokenly optimistic right along. Conservative observers plan to continue to favor taking profits whenever opportunities are presented, because they feel that before the market reaches a level where good buying will be encountered stocks can be repurchased at more reasonable figures.”</w:t>
      </w:r>
      <w:r w:rsidRPr="002A7011">
        <w:rPr>
          <w:vertAlign w:val="superscript"/>
        </w:rPr>
        <w:footnoteReference w:id="50"/>
      </w:r>
      <w:r w:rsidRPr="002A7011">
        <w:t xml:space="preserve"> Writers were highly critical of the Federal Reserve’s crackdown on broker’s loans and there was commentary during this period that this would affect business’ access to credit, as money would be diverted to the stock market from commercial loans.</w:t>
      </w:r>
    </w:p>
    <w:p w:rsidR="00222F36" w:rsidRPr="002A7011" w:rsidRDefault="000B682F">
      <w:pPr>
        <w:spacing w:line="480" w:lineRule="auto"/>
        <w:ind w:firstLine="576"/>
      </w:pPr>
      <w:r w:rsidRPr="002A7011">
        <w:t xml:space="preserve">The newspaper reported on a National City Bank report’s “alarm”  at the  ‘extraordinary  growth  of   unregulated non-bank  loans  being  made for  </w:t>
      </w:r>
      <w:r w:rsidRPr="002A7011">
        <w:lastRenderedPageBreak/>
        <w:t>speculative  purposes,  not  because  the  size  of  brokers’ loans is of itself dangerous, but because non-bank lenders feels little    responsibility towards the money market, may withdraw their funds at  a moment’s notice,  and   thus place upon banks the responsibility of maintaining the money market on an even keel.’</w:t>
      </w:r>
      <w:r w:rsidRPr="002A7011">
        <w:rPr>
          <w:vertAlign w:val="superscript"/>
        </w:rPr>
        <w:footnoteReference w:id="51"/>
      </w:r>
      <w:r w:rsidRPr="002A7011">
        <w:t xml:space="preserve"> There were complaints about the “smug silence” of the New York Fed.</w:t>
      </w:r>
      <w:r w:rsidRPr="002A7011">
        <w:rPr>
          <w:vertAlign w:val="superscript"/>
        </w:rPr>
        <w:footnoteReference w:id="52"/>
      </w:r>
      <w:r w:rsidRPr="002A7011">
        <w:t xml:space="preserve"> Other worries included difficulties for railroad mergers, such as objections to a merger of the Chesapeake &amp; Ohio with the Baltimore &amp; Ohio.</w:t>
      </w:r>
      <w:r w:rsidRPr="002A7011">
        <w:rPr>
          <w:vertAlign w:val="superscript"/>
        </w:rPr>
        <w:footnoteReference w:id="53"/>
      </w:r>
    </w:p>
    <w:p w:rsidR="00222F36" w:rsidRPr="002A7011" w:rsidRDefault="000B682F">
      <w:pPr>
        <w:spacing w:line="480" w:lineRule="auto"/>
        <w:ind w:firstLine="576"/>
      </w:pPr>
      <w:r w:rsidRPr="002A7011">
        <w:t>For the rest of the year leading up to the October crash, however, there is not so much of a surge in avoidance terms, as an absence of approach terms, a lack of reasons to be enthusiastic about the economy or stock market. After October 1929, there is a long period of prevalence of avoidance terms, unsurprisingly given the worsening state of economic news.</w:t>
      </w:r>
    </w:p>
    <w:p w:rsidR="00222F36" w:rsidRPr="002A7011" w:rsidRDefault="000B682F">
      <w:pPr>
        <w:spacing w:line="480" w:lineRule="auto"/>
        <w:ind w:firstLine="576"/>
      </w:pPr>
      <w:r w:rsidRPr="002A7011">
        <w:t xml:space="preserve">From 1930, news was generally negative, but so of course was the reality that was being reported. Industrial production fell twenty percent in 1930 and a further twenty percent in 1931. The stock market fared even worse. The online companion to this paper shows the effect of business-sentiment during this period. While there are some impacts, the impacts are relatively small compared to the overall changes in the variables of interest. The only period where business-sentiment appears to make a sizeable impact is towards the end of 1933 where a run of negative business-sentiment affected industrial production and </w:t>
      </w:r>
      <w:r w:rsidRPr="002A7011">
        <w:lastRenderedPageBreak/>
        <w:t xml:space="preserve">the stock market. This can be seen in Figure 12. During this period, industrial production rose by fifty percent and the stock market doubled. The impact of the run of negative business shocks in the later part of 1933, lowered industrial production by ten percent and lowered the stock market index by seven and a half percent. Bank loans are down by five percent and the credit risk spread is higher by twenty-five basis points in October of 1933. </w:t>
      </w:r>
    </w:p>
    <w:p w:rsidR="00222F36" w:rsidRPr="002A7011" w:rsidRDefault="000B682F">
      <w:pPr>
        <w:spacing w:line="480" w:lineRule="auto"/>
      </w:pPr>
      <w:r w:rsidRPr="002A7011">
        <w:t>These shocks appear much more clearly in the reporting and news interpretation of the WSJ than in the NYT, and reflect a worry about the political direction of the Roosevelt administration and the New Deal. Thus, the top-ranking “avoidance” article in July 1933 is simply a report of the “bombshell” message that Roosevelt deployed to break up the sputtering London World Economic Conference.</w:t>
      </w:r>
      <w:r w:rsidRPr="002A7011">
        <w:rPr>
          <w:vertAlign w:val="superscript"/>
        </w:rPr>
        <w:footnoteReference w:id="54"/>
      </w:r>
      <w:r w:rsidRPr="002A7011">
        <w:t xml:space="preserve"> Other articles worry about the effect of the new labor codes on wage costs and profitability in the energy industries;</w:t>
      </w:r>
      <w:r w:rsidRPr="002A7011">
        <w:rPr>
          <w:vertAlign w:val="superscript"/>
        </w:rPr>
        <w:footnoteReference w:id="55"/>
      </w:r>
      <w:r w:rsidRPr="002A7011">
        <w:t xml:space="preserve"> or about the way in which the administration was relying on a policy of depreciating the dollar: ‘as the practical difficulties of industrial and agricultural control develop, this tendency to cling to and emphasize currency management will become more marked.’</w:t>
      </w:r>
      <w:r w:rsidRPr="002A7011">
        <w:rPr>
          <w:vertAlign w:val="superscript"/>
        </w:rPr>
        <w:footnoteReference w:id="56"/>
      </w:r>
      <w:r w:rsidRPr="002A7011">
        <w:t xml:space="preserve"> The measurement of business-sentiment then reflects a real drag on the economic recovery process that was central to the objectives of the new administration.</w:t>
      </w:r>
    </w:p>
    <w:p w:rsidR="00222F36" w:rsidRPr="002A7011" w:rsidRDefault="000B682F">
      <w:pPr>
        <w:spacing w:line="480" w:lineRule="auto"/>
        <w:ind w:firstLine="576"/>
      </w:pPr>
      <w:r w:rsidRPr="002A7011">
        <w:lastRenderedPageBreak/>
        <w:t xml:space="preserve">It should be noted that there were many important news events during the 1930’s, such as Britain leaving the gold standard, that do not show up in the identified business-sentiment shocks. This lends credibility to our assertion that we have filtered out news shocks from the identified business-sentiment shock. </w:t>
      </w:r>
    </w:p>
    <w:p w:rsidR="00222F36" w:rsidRPr="002A7011" w:rsidRDefault="00222F36">
      <w:pPr>
        <w:spacing w:line="480" w:lineRule="auto"/>
        <w:ind w:firstLine="576"/>
      </w:pPr>
    </w:p>
    <w:p w:rsidR="00222F36" w:rsidRPr="002A7011" w:rsidRDefault="00222F36"/>
    <w:p w:rsidR="00222F36" w:rsidRPr="002A7011" w:rsidRDefault="000B682F">
      <w:pPr>
        <w:keepNext/>
        <w:jc w:val="center"/>
        <w:rPr>
          <w:b/>
        </w:rPr>
      </w:pPr>
      <w:r w:rsidRPr="002A7011">
        <w:rPr>
          <w:b/>
        </w:rPr>
        <w:t xml:space="preserve">Figure 12: </w:t>
      </w:r>
      <w:r w:rsidRPr="002A7011">
        <w:t>Historical Decomposition for July 1932 to December 1933.</w:t>
      </w:r>
      <w:r w:rsidRPr="002A7011">
        <w:rPr>
          <w:vertAlign w:val="superscript"/>
        </w:rPr>
        <w:t>*</w:t>
      </w:r>
    </w:p>
    <w:p w:rsidR="00222F36" w:rsidRPr="002A7011" w:rsidRDefault="000B682F">
      <w:pPr>
        <w:jc w:val="center"/>
      </w:pPr>
      <w:r w:rsidRPr="002A7011">
        <w:rPr>
          <w:noProof/>
          <w:lang w:eastAsia="en-GB"/>
        </w:rPr>
        <w:drawing>
          <wp:inline distT="0" distB="0" distL="0" distR="0">
            <wp:extent cx="4561205" cy="3646805"/>
            <wp:effectExtent l="0" t="0" r="0" b="0"/>
            <wp:docPr id="59"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44"/>
                    <a:srcRect/>
                    <a:stretch>
                      <a:fillRect/>
                    </a:stretch>
                  </pic:blipFill>
                  <pic:spPr>
                    <a:xfrm>
                      <a:off x="0" y="0"/>
                      <a:ext cx="4561205" cy="3646805"/>
                    </a:xfrm>
                    <a:prstGeom prst="rect">
                      <a:avLst/>
                    </a:prstGeom>
                    <a:ln/>
                  </pic:spPr>
                </pic:pic>
              </a:graphicData>
            </a:graphic>
          </wp:inline>
        </w:drawing>
      </w:r>
    </w:p>
    <w:p w:rsidR="00222F36" w:rsidRPr="002A7011" w:rsidRDefault="000B682F">
      <w:pPr>
        <w:pBdr>
          <w:top w:val="single" w:sz="4" w:space="1" w:color="000000"/>
        </w:pBdr>
        <w:rPr>
          <w:sz w:val="16"/>
          <w:szCs w:val="16"/>
        </w:rPr>
      </w:pPr>
      <w:r w:rsidRPr="002A7011">
        <w:rPr>
          <w:sz w:val="20"/>
          <w:szCs w:val="20"/>
        </w:rPr>
        <w:t xml:space="preserve">* </w:t>
      </w:r>
      <w:r w:rsidRPr="002A7011">
        <w:rPr>
          <w:sz w:val="16"/>
          <w:szCs w:val="16"/>
        </w:rPr>
        <w:t>Industrial production, the stock market, bank loans, and prices are normalized to equal 100 for the first date of each subperiod. The credit risk spread is measured in deviations (in basis points) from the value at the first date of each subperiod. The solid line is the actual data while the dashed line is the counterfactual series with the business-sentiment shock removed.</w:t>
      </w:r>
    </w:p>
    <w:p w:rsidR="00222F36" w:rsidRPr="002A7011" w:rsidRDefault="00222F36">
      <w:pPr>
        <w:spacing w:line="480" w:lineRule="auto"/>
      </w:pPr>
    </w:p>
    <w:p w:rsidR="00222F36" w:rsidRPr="002A7011" w:rsidRDefault="000B682F">
      <w:pPr>
        <w:pStyle w:val="Heading1"/>
        <w:numPr>
          <w:ilvl w:val="0"/>
          <w:numId w:val="1"/>
        </w:numPr>
      </w:pPr>
      <w:r w:rsidRPr="002A7011">
        <w:t xml:space="preserve"> Summary and Conclusions</w:t>
      </w:r>
    </w:p>
    <w:p w:rsidR="00222F36" w:rsidRPr="002A7011" w:rsidRDefault="00222F36"/>
    <w:p w:rsidR="00222F36" w:rsidRPr="002A7011" w:rsidRDefault="000B682F">
      <w:pPr>
        <w:spacing w:line="480" w:lineRule="auto"/>
        <w:ind w:firstLine="720"/>
      </w:pPr>
      <w:r w:rsidRPr="002A7011">
        <w:t xml:space="preserve">According to several historical accounts, the credit and business cycles of the 1920’s and the Great Depression were influenced by sentiment, but these </w:t>
      </w:r>
      <w:r w:rsidRPr="002A7011">
        <w:lastRenderedPageBreak/>
        <w:t xml:space="preserve">accounts struggle to measure the precise impact. This paper uses novel techniques and new data sources to investigate the scale and timing of the impact of these sentiments on the macro economy, in a dynamic setting, and thus to precisely specify how sentiment moved the economy at critical moments. </w:t>
      </w:r>
    </w:p>
    <w:p w:rsidR="00222F36" w:rsidRPr="002A7011" w:rsidRDefault="000B682F">
      <w:pPr>
        <w:spacing w:line="480" w:lineRule="auto"/>
        <w:ind w:firstLine="720"/>
      </w:pPr>
      <w:r w:rsidRPr="002A7011">
        <w:t xml:space="preserve">We hypothesise that newspaper articles of the time contain information related to the state of emotions or confidence of economic agents as well as information about the fundamentals of the economy. We use over 250,000 digitized articles from the WSJ to algorithmically derive a monthly business-sentiment index based on emotion related words. The emotion component is constructed to be orthogonal to the fundamental shocks to the real economy and credit markets through the use of a vector error correction model. We interpret the business-sentiment shocks as capturing the change in economic agents’ perceptions over time. </w:t>
      </w:r>
    </w:p>
    <w:p w:rsidR="00222F36" w:rsidRPr="002A7011" w:rsidRDefault="000B682F">
      <w:pPr>
        <w:spacing w:line="480" w:lineRule="auto"/>
        <w:ind w:firstLine="720"/>
      </w:pPr>
      <w:r w:rsidRPr="002A7011">
        <w:t xml:space="preserve">We show the identified business-sentiment shocks had economically significant effects on industrial production, the S&amp;P 500 stock market index, bank loans, and credit spreads during some important periods of our sample, implying a distinct role for business-sentiment in the credit and business cycles of the 1920’s and the Great Depression. </w:t>
      </w:r>
    </w:p>
    <w:p w:rsidR="00222F36" w:rsidRPr="002A7011" w:rsidRDefault="000B682F">
      <w:pPr>
        <w:spacing w:line="480" w:lineRule="auto"/>
        <w:ind w:firstLine="720"/>
      </w:pPr>
      <w:r w:rsidRPr="002A7011">
        <w:t xml:space="preserve">In some periods, such as in 1921 and 1926, changes in agents’ perceptions are hard to reconcile with any specific events in the news. In these cases, foreign and domestic news were creating mood music, rather than specific information, with rhapsodizing about the “greatest prosperity the world has ever known” alternating with gloom, frequently spurred by Europe’s </w:t>
      </w:r>
      <w:r w:rsidRPr="002A7011">
        <w:lastRenderedPageBreak/>
        <w:t xml:space="preserve">intractable political problems, but also by reflections on the organization and structure of American business. </w:t>
      </w:r>
    </w:p>
    <w:p w:rsidR="00222F36" w:rsidRPr="002A7011" w:rsidRDefault="000B682F">
      <w:pPr>
        <w:spacing w:line="480" w:lineRule="auto"/>
        <w:ind w:firstLine="720"/>
      </w:pPr>
      <w:r w:rsidRPr="002A7011">
        <w:t xml:space="preserve">We contribute to the literature, in a number of ways. Firstly, while the focus of attention in prior studies has been the stock market, inflation expectations, or uncertainty, we investigate the major components of the macroeconomy including the financial side, in a dynamic setting. Second, our method employs digitized data for historical time periods using very large textual databases, establishing further these emerging techniques for use in historical finance and macroeconomics. We also show that our sentiment index contains different information to existing state of the art sentiment lexicons and provide a method of sentiment analysis that can be applied to other historical databases. Lastly, by using data at the monthly frequency, we are able to provide a clearer understanding of the nature and timing of business-sentiment shocks and the intensity and timing of the reactions of major subcomponents of the economy. This allows for much improved identification of when and how these business-sentiments behaved and how they transmitted across the economy. </w:t>
      </w:r>
    </w:p>
    <w:p w:rsidR="00222F36" w:rsidRPr="002A7011" w:rsidRDefault="00222F36">
      <w:pPr>
        <w:ind w:firstLine="720"/>
      </w:pPr>
    </w:p>
    <w:p w:rsidR="00222F36" w:rsidRPr="002A7011" w:rsidRDefault="00222F36"/>
    <w:p w:rsidR="00222F36" w:rsidRPr="002A7011" w:rsidRDefault="00222F36"/>
    <w:p w:rsidR="00222F36" w:rsidRPr="002A7011" w:rsidRDefault="00222F36"/>
    <w:p w:rsidR="00222F36" w:rsidRPr="002A7011" w:rsidRDefault="000B682F">
      <w:pPr>
        <w:rPr>
          <w:b/>
          <w:sz w:val="28"/>
          <w:szCs w:val="28"/>
        </w:rPr>
      </w:pPr>
      <w:r w:rsidRPr="002A7011">
        <w:br w:type="page"/>
      </w:r>
    </w:p>
    <w:p w:rsidR="00222F36" w:rsidRPr="002A7011" w:rsidRDefault="000B682F">
      <w:pPr>
        <w:pStyle w:val="Heading1"/>
        <w:numPr>
          <w:ilvl w:val="0"/>
          <w:numId w:val="1"/>
        </w:numPr>
        <w:rPr>
          <w:color w:val="000000"/>
          <w:sz w:val="24"/>
          <w:szCs w:val="24"/>
        </w:rPr>
      </w:pPr>
      <w:r w:rsidRPr="002A7011">
        <w:lastRenderedPageBreak/>
        <w:t>References</w:t>
      </w:r>
    </w:p>
    <w:p w:rsidR="00222F36" w:rsidRPr="002A7011" w:rsidRDefault="00222F36">
      <w:pPr>
        <w:widowControl w:val="0"/>
        <w:pBdr>
          <w:top w:val="nil"/>
          <w:left w:val="nil"/>
          <w:bottom w:val="nil"/>
          <w:right w:val="nil"/>
          <w:between w:val="nil"/>
        </w:pBdr>
        <w:spacing w:line="480" w:lineRule="auto"/>
        <w:rPr>
          <w:color w:val="000000"/>
          <w:sz w:val="22"/>
          <w:szCs w:val="22"/>
        </w:rPr>
      </w:pPr>
    </w:p>
    <w:p w:rsidR="00222F36" w:rsidRPr="002A7011" w:rsidRDefault="000B682F">
      <w:pPr>
        <w:pBdr>
          <w:top w:val="nil"/>
          <w:left w:val="nil"/>
          <w:bottom w:val="nil"/>
          <w:right w:val="nil"/>
          <w:between w:val="nil"/>
        </w:pBdr>
        <w:rPr>
          <w:color w:val="000000"/>
        </w:rPr>
      </w:pPr>
      <w:r w:rsidRPr="002A7011">
        <w:rPr>
          <w:color w:val="000000"/>
        </w:rPr>
        <w:t xml:space="preserve">Baker, S. R., Bloom, N., Davis, S. J. (2016). ‘Measuring Economic Policy Uncertainty’ </w:t>
      </w:r>
      <w:r w:rsidRPr="002A7011">
        <w:rPr>
          <w:i/>
          <w:color w:val="000000"/>
        </w:rPr>
        <w:t>Quarterly Journal of Economics</w:t>
      </w:r>
      <w:r w:rsidRPr="002A7011">
        <w:rPr>
          <w:color w:val="000000"/>
        </w:rPr>
        <w:t xml:space="preserve">, 131(4) 1593-1636 </w:t>
      </w:r>
      <w:hyperlink r:id="rId45">
        <w:r w:rsidRPr="002A7011">
          <w:rPr>
            <w:color w:val="000000"/>
            <w:u w:val="single"/>
          </w:rPr>
          <w:t>https://doi.org/10.1093/qje/qjw024</w:t>
        </w:r>
      </w:hyperlink>
    </w:p>
    <w:p w:rsidR="00222F36" w:rsidRPr="002A7011" w:rsidRDefault="00222F36">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rPr>
      </w:pPr>
      <w:r w:rsidRPr="002A7011">
        <w:rPr>
          <w:color w:val="000000"/>
        </w:rPr>
        <w:t xml:space="preserve">Bandelj, N. (2009) ‘Emotions in economic action and interaction’. </w:t>
      </w:r>
      <w:r w:rsidRPr="002A7011">
        <w:rPr>
          <w:i/>
          <w:color w:val="000000"/>
        </w:rPr>
        <w:t>Theory and Society</w:t>
      </w:r>
      <w:r w:rsidRPr="002A7011">
        <w:rPr>
          <w:color w:val="000000"/>
        </w:rPr>
        <w:t xml:space="preserve">, 38(4): 347–36. </w:t>
      </w:r>
      <w:hyperlink r:id="rId46">
        <w:r w:rsidRPr="002A7011">
          <w:rPr>
            <w:color w:val="000000"/>
            <w:u w:val="single"/>
          </w:rPr>
          <w:t>https://doi.org/10.1007/s11186-009-9088-2 </w:t>
        </w:r>
      </w:hyperlink>
    </w:p>
    <w:p w:rsidR="00222F36" w:rsidRPr="002A7011" w:rsidRDefault="00222F36">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rPr>
      </w:pPr>
      <w:r w:rsidRPr="002A7011">
        <w:rPr>
          <w:color w:val="000000"/>
        </w:rPr>
        <w:t xml:space="preserve">Berezin, M. (2005) Emotions and the Economy. In Smelser, N. and Swedberg, R. (eds) The Handbook of Economic Sociology (2nd edition).  New York and Princeton:  Russell Sage Foundation and Princeton University Press, pp. 109 131. </w:t>
      </w:r>
      <w:hyperlink r:id="rId47">
        <w:r w:rsidRPr="002A7011">
          <w:rPr>
            <w:color w:val="000000"/>
            <w:u w:val="single"/>
          </w:rPr>
          <w:t> https://doi.org/10.1515/9781400835584.109 </w:t>
        </w:r>
      </w:hyperlink>
    </w:p>
    <w:p w:rsidR="00222F36" w:rsidRPr="002A7011" w:rsidRDefault="00222F36">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rPr>
      </w:pPr>
      <w:r w:rsidRPr="002A7011">
        <w:rPr>
          <w:color w:val="000000"/>
        </w:rPr>
        <w:t xml:space="preserve">Bernanke, B. (1983) ‘Nonmonetary Effects of the Financial Crisis in the Propagation of the Great Depression’ </w:t>
      </w:r>
      <w:r w:rsidRPr="002A7011">
        <w:rPr>
          <w:i/>
          <w:color w:val="000000"/>
        </w:rPr>
        <w:t>The American Economic Review</w:t>
      </w:r>
      <w:r w:rsidRPr="002A7011">
        <w:rPr>
          <w:color w:val="000000"/>
        </w:rPr>
        <w:t xml:space="preserve"> 73,(3) 257-276   </w:t>
      </w:r>
      <w:hyperlink r:id="rId48">
        <w:r w:rsidRPr="002A7011">
          <w:rPr>
            <w:color w:val="000000"/>
            <w:u w:val="single"/>
          </w:rPr>
          <w:t> https://doi.org/10.3386/w1054 </w:t>
        </w:r>
      </w:hyperlink>
    </w:p>
    <w:p w:rsidR="00222F36" w:rsidRPr="002A7011" w:rsidRDefault="00222F36">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rPr>
      </w:pPr>
      <w:r w:rsidRPr="002A7011">
        <w:rPr>
          <w:color w:val="000000"/>
        </w:rPr>
        <w:t xml:space="preserve">Bernanke, B. (2004). </w:t>
      </w:r>
      <w:r w:rsidRPr="002A7011">
        <w:rPr>
          <w:i/>
          <w:color w:val="000000"/>
        </w:rPr>
        <w:t xml:space="preserve">Essays on the Great Depression </w:t>
      </w:r>
      <w:r w:rsidRPr="002A7011">
        <w:rPr>
          <w:color w:val="000000"/>
        </w:rPr>
        <w:t>Princeton: Princeton University Press.</w:t>
      </w:r>
    </w:p>
    <w:p w:rsidR="00222F36" w:rsidRPr="002A7011" w:rsidRDefault="00222F36">
      <w:pPr>
        <w:pBdr>
          <w:top w:val="nil"/>
          <w:left w:val="nil"/>
          <w:bottom w:val="nil"/>
          <w:right w:val="nil"/>
          <w:between w:val="nil"/>
        </w:pBdr>
      </w:pPr>
    </w:p>
    <w:p w:rsidR="00222F36" w:rsidRPr="002A7011" w:rsidRDefault="000B682F">
      <w:pPr>
        <w:pBdr>
          <w:top w:val="nil"/>
          <w:left w:val="nil"/>
          <w:bottom w:val="nil"/>
          <w:right w:val="nil"/>
          <w:between w:val="nil"/>
        </w:pBdr>
      </w:pPr>
      <w:r w:rsidRPr="002A7011">
        <w:t xml:space="preserve">Binder, C., (2016). ‘Estimation of historical inflation expectations,’ </w:t>
      </w:r>
      <w:r w:rsidRPr="002A7011">
        <w:rPr>
          <w:i/>
        </w:rPr>
        <w:t>Explorations in Economic History</w:t>
      </w:r>
      <w:r w:rsidRPr="002A7011">
        <w:t>, 61, pp.1-31.</w:t>
      </w:r>
    </w:p>
    <w:p w:rsidR="00222F36" w:rsidRPr="002A7011" w:rsidRDefault="00222F36">
      <w:pPr>
        <w:pBdr>
          <w:top w:val="nil"/>
          <w:left w:val="nil"/>
          <w:bottom w:val="nil"/>
          <w:right w:val="nil"/>
          <w:between w:val="nil"/>
        </w:pBdr>
      </w:pPr>
    </w:p>
    <w:p w:rsidR="00222F36" w:rsidRPr="002A7011" w:rsidRDefault="000B682F">
      <w:pPr>
        <w:pBdr>
          <w:top w:val="nil"/>
          <w:left w:val="nil"/>
          <w:bottom w:val="nil"/>
          <w:right w:val="nil"/>
          <w:between w:val="nil"/>
        </w:pBdr>
      </w:pPr>
      <w:r w:rsidRPr="002A7011">
        <w:t xml:space="preserve">Binder, J.R., Conant, L.L., Humphries, C.J., Fernandino, L., Simons, S.B., Aguilar, M., and Desai, R.H. (2016). ‘Toward a brain-based componential semantic representation.’ </w:t>
      </w:r>
      <w:r w:rsidRPr="002A7011">
        <w:rPr>
          <w:i/>
        </w:rPr>
        <w:t>Cognitive Neuropsychology</w:t>
      </w:r>
      <w:r w:rsidRPr="002A7011">
        <w:t xml:space="preserve">, 33(3-4). pp. 130-174. </w:t>
      </w:r>
    </w:p>
    <w:p w:rsidR="00222F36" w:rsidRPr="002A7011" w:rsidRDefault="00222F36">
      <w:pPr>
        <w:pBdr>
          <w:top w:val="nil"/>
          <w:left w:val="nil"/>
          <w:bottom w:val="nil"/>
          <w:right w:val="nil"/>
          <w:between w:val="nil"/>
        </w:pBdr>
      </w:pPr>
    </w:p>
    <w:p w:rsidR="00222F36" w:rsidRPr="002A7011" w:rsidRDefault="000B682F">
      <w:pPr>
        <w:pBdr>
          <w:top w:val="nil"/>
          <w:left w:val="nil"/>
          <w:bottom w:val="nil"/>
          <w:right w:val="nil"/>
          <w:between w:val="nil"/>
        </w:pBdr>
      </w:pPr>
      <w:r w:rsidRPr="002A7011">
        <w:t xml:space="preserve">Borowiecki, K. J. (2017): “How Are You, My Dearest Mozart? Well-Being and Creativity of Three Famous Composers Based on Their Letters,” </w:t>
      </w:r>
      <w:r w:rsidRPr="002A7011">
        <w:rPr>
          <w:i/>
        </w:rPr>
        <w:t>Review of Economics and Statistics</w:t>
      </w:r>
      <w:r w:rsidRPr="002A7011">
        <w:t>, 99, 591–605.</w:t>
      </w:r>
    </w:p>
    <w:p w:rsidR="00222F36" w:rsidRPr="002A7011" w:rsidRDefault="00222F36">
      <w:pPr>
        <w:pBdr>
          <w:top w:val="nil"/>
          <w:left w:val="nil"/>
          <w:bottom w:val="nil"/>
          <w:right w:val="nil"/>
          <w:between w:val="nil"/>
        </w:pBdr>
      </w:pPr>
    </w:p>
    <w:p w:rsidR="00222F36" w:rsidRPr="002A7011" w:rsidRDefault="000B682F">
      <w:pPr>
        <w:pBdr>
          <w:top w:val="nil"/>
          <w:left w:val="nil"/>
          <w:bottom w:val="nil"/>
          <w:right w:val="nil"/>
          <w:between w:val="nil"/>
        </w:pBdr>
        <w:rPr>
          <w:color w:val="000000"/>
          <w:u w:val="single"/>
        </w:rPr>
      </w:pPr>
      <w:r w:rsidRPr="002A7011">
        <w:rPr>
          <w:color w:val="000000"/>
        </w:rPr>
        <w:lastRenderedPageBreak/>
        <w:t xml:space="preserve">Bruner, J. (1990). </w:t>
      </w:r>
      <w:r w:rsidRPr="002A7011">
        <w:rPr>
          <w:i/>
          <w:color w:val="000000"/>
        </w:rPr>
        <w:t>Acts of meaning</w:t>
      </w:r>
      <w:r w:rsidRPr="002A7011">
        <w:rPr>
          <w:color w:val="000000"/>
        </w:rPr>
        <w:t xml:space="preserve">. Cambridge, Mass.: Harvard Univ. Press.  </w:t>
      </w:r>
      <w:hyperlink r:id="rId49">
        <w:r w:rsidRPr="002A7011">
          <w:rPr>
            <w:color w:val="000000"/>
            <w:u w:val="single"/>
          </w:rPr>
          <w:t>https://doi.org/10.1017/s0033291700030555 </w:t>
        </w:r>
      </w:hyperlink>
    </w:p>
    <w:p w:rsidR="00222F36" w:rsidRPr="002A7011" w:rsidRDefault="00222F36">
      <w:pPr>
        <w:pBdr>
          <w:top w:val="nil"/>
          <w:left w:val="nil"/>
          <w:bottom w:val="nil"/>
          <w:right w:val="nil"/>
          <w:between w:val="nil"/>
        </w:pBdr>
        <w:rPr>
          <w:color w:val="000000"/>
          <w:u w:val="single"/>
        </w:rPr>
      </w:pPr>
    </w:p>
    <w:p w:rsidR="00222F36" w:rsidRPr="002A7011" w:rsidRDefault="000B682F">
      <w:pPr>
        <w:pBdr>
          <w:top w:val="nil"/>
          <w:left w:val="nil"/>
          <w:bottom w:val="nil"/>
          <w:right w:val="nil"/>
          <w:between w:val="nil"/>
        </w:pBdr>
        <w:rPr>
          <w:color w:val="000000"/>
        </w:rPr>
      </w:pPr>
      <w:r w:rsidRPr="002A7011">
        <w:rPr>
          <w:color w:val="000000"/>
        </w:rPr>
        <w:t>Calomiris, C. W. and Mamaysky, H., (2019). "How News and Its Context Drive Risk and Returns Around the World," </w:t>
      </w:r>
      <w:r w:rsidRPr="002A7011">
        <w:rPr>
          <w:i/>
          <w:color w:val="000000"/>
        </w:rPr>
        <w:t>Journal of Financial Economics</w:t>
      </w:r>
      <w:r w:rsidRPr="002A7011">
        <w:rPr>
          <w:color w:val="000000"/>
        </w:rPr>
        <w:t xml:space="preserve">, 133(2), Pages 299—336. </w:t>
      </w:r>
      <w:r w:rsidRPr="002A7011">
        <w:rPr>
          <w:color w:val="000000"/>
          <w:u w:val="single"/>
        </w:rPr>
        <w:t>https://doi.org/10.1016/j.jfineco.2018.11.009</w:t>
      </w:r>
      <w:r w:rsidRPr="002A7011">
        <w:rPr>
          <w:color w:val="000000"/>
        </w:rPr>
        <w:t xml:space="preserve"> </w:t>
      </w:r>
    </w:p>
    <w:p w:rsidR="00222F36" w:rsidRPr="002A7011" w:rsidRDefault="00222F36">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rPr>
      </w:pPr>
      <w:r w:rsidRPr="002A7011">
        <w:rPr>
          <w:color w:val="000000"/>
        </w:rPr>
        <w:t xml:space="preserve">Cecchetti, S. G., (1992). “Prices during the Great Depression: Was the deflation of 1930-1932 really unanticipated?” </w:t>
      </w:r>
      <w:r w:rsidRPr="002A7011">
        <w:rPr>
          <w:i/>
          <w:color w:val="000000"/>
        </w:rPr>
        <w:t>The American Economic Review</w:t>
      </w:r>
      <w:r w:rsidRPr="002A7011">
        <w:rPr>
          <w:color w:val="000000"/>
        </w:rPr>
        <w:t xml:space="preserve">, 82(1): 141 – 156. </w:t>
      </w:r>
    </w:p>
    <w:p w:rsidR="00222F36" w:rsidRPr="002A7011" w:rsidRDefault="00222F36">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u w:val="single"/>
        </w:rPr>
      </w:pPr>
      <w:r w:rsidRPr="002A7011">
        <w:rPr>
          <w:color w:val="000000"/>
        </w:rPr>
        <w:t xml:space="preserve">Choi, H. and Varian, H., (2012). ‘Predicting the present with Google Trends’. </w:t>
      </w:r>
      <w:r w:rsidRPr="002A7011">
        <w:rPr>
          <w:i/>
          <w:color w:val="000000"/>
        </w:rPr>
        <w:t>Economic Record</w:t>
      </w:r>
      <w:r w:rsidRPr="002A7011">
        <w:rPr>
          <w:color w:val="000000"/>
        </w:rPr>
        <w:t xml:space="preserve">, </w:t>
      </w:r>
      <w:r w:rsidRPr="002A7011">
        <w:rPr>
          <w:i/>
          <w:color w:val="000000"/>
        </w:rPr>
        <w:t>88</w:t>
      </w:r>
      <w:r w:rsidRPr="002A7011">
        <w:rPr>
          <w:color w:val="000000"/>
        </w:rPr>
        <w:t xml:space="preserve">(s1), pp.2-9 </w:t>
      </w:r>
      <w:hyperlink r:id="rId50">
        <w:r w:rsidRPr="002A7011">
          <w:rPr>
            <w:color w:val="000000"/>
            <w:u w:val="single"/>
          </w:rPr>
          <w:t>https://doi.org/10.1111/j.1475-4932.2012.00809.x</w:t>
        </w:r>
      </w:hyperlink>
    </w:p>
    <w:p w:rsidR="00222F36" w:rsidRPr="002A7011" w:rsidRDefault="00222F36">
      <w:pPr>
        <w:pBdr>
          <w:top w:val="nil"/>
          <w:left w:val="nil"/>
          <w:bottom w:val="nil"/>
          <w:right w:val="nil"/>
          <w:between w:val="nil"/>
        </w:pBdr>
        <w:rPr>
          <w:color w:val="000000"/>
          <w:u w:val="single"/>
        </w:rPr>
      </w:pPr>
    </w:p>
    <w:p w:rsidR="00222F36" w:rsidRPr="002A7011" w:rsidRDefault="000B682F">
      <w:pPr>
        <w:pBdr>
          <w:top w:val="nil"/>
          <w:left w:val="nil"/>
          <w:bottom w:val="nil"/>
          <w:right w:val="nil"/>
          <w:between w:val="nil"/>
        </w:pBdr>
        <w:rPr>
          <w:color w:val="000000"/>
        </w:rPr>
      </w:pPr>
      <w:r w:rsidRPr="002A7011">
        <w:rPr>
          <w:color w:val="000000"/>
        </w:rPr>
        <w:t xml:space="preserve">Chong, K. and Tuckett, D. (2015). ‘Constructing conviction through action and narrative: how money managers mange uncertainty and the consequence for financial market functioning,’ </w:t>
      </w:r>
      <w:r w:rsidRPr="002A7011">
        <w:rPr>
          <w:i/>
          <w:color w:val="000000"/>
        </w:rPr>
        <w:t>Socio-Economic Review</w:t>
      </w:r>
      <w:r w:rsidRPr="002A7011">
        <w:rPr>
          <w:color w:val="000000"/>
        </w:rPr>
        <w:t>, 13(2), Pages 309 – 330.</w:t>
      </w:r>
    </w:p>
    <w:p w:rsidR="00222F36" w:rsidRPr="002A7011" w:rsidRDefault="00222F36">
      <w:pPr>
        <w:pBdr>
          <w:top w:val="nil"/>
          <w:left w:val="nil"/>
          <w:bottom w:val="nil"/>
          <w:right w:val="nil"/>
          <w:between w:val="nil"/>
        </w:pBdr>
        <w:rPr>
          <w:color w:val="000000"/>
          <w:u w:val="single"/>
        </w:rPr>
      </w:pPr>
    </w:p>
    <w:p w:rsidR="00222F36" w:rsidRPr="002A7011" w:rsidRDefault="000B682F">
      <w:pPr>
        <w:pBdr>
          <w:top w:val="nil"/>
          <w:left w:val="nil"/>
          <w:bottom w:val="nil"/>
          <w:right w:val="nil"/>
          <w:between w:val="nil"/>
        </w:pBdr>
        <w:rPr>
          <w:color w:val="000000"/>
        </w:rPr>
      </w:pPr>
      <w:r w:rsidRPr="002A7011">
        <w:rPr>
          <w:color w:val="000000"/>
        </w:rPr>
        <w:t xml:space="preserve">Cowles, A. and associates, (1938) </w:t>
      </w:r>
      <w:r w:rsidRPr="002A7011">
        <w:rPr>
          <w:i/>
          <w:color w:val="000000"/>
        </w:rPr>
        <w:t>Common Stock Indexes, 1871 – 1937</w:t>
      </w:r>
      <w:r w:rsidRPr="002A7011">
        <w:rPr>
          <w:color w:val="000000"/>
        </w:rPr>
        <w:t xml:space="preserve">, Cowles Commission for Research in Economics, Monograph 3, Principia Press Inc. , Bloomington, Indiana. </w:t>
      </w:r>
    </w:p>
    <w:p w:rsidR="00222F36" w:rsidRPr="002A7011" w:rsidRDefault="00222F36">
      <w:pPr>
        <w:pBdr>
          <w:top w:val="nil"/>
          <w:left w:val="nil"/>
          <w:bottom w:val="nil"/>
          <w:right w:val="nil"/>
          <w:between w:val="nil"/>
        </w:pBdr>
      </w:pPr>
    </w:p>
    <w:p w:rsidR="00222F36" w:rsidRPr="002A7011" w:rsidRDefault="000B682F">
      <w:pPr>
        <w:pBdr>
          <w:top w:val="nil"/>
          <w:left w:val="nil"/>
          <w:bottom w:val="nil"/>
          <w:right w:val="nil"/>
          <w:between w:val="nil"/>
        </w:pBdr>
      </w:pPr>
      <w:r w:rsidRPr="002A7011">
        <w:t xml:space="preserve">Daniel, V. and Steege, L., 2020. Inflation expectations and the recovery from the Great Depression in Germany. </w:t>
      </w:r>
      <w:r w:rsidRPr="002A7011">
        <w:rPr>
          <w:i/>
        </w:rPr>
        <w:t>Explorations in Economic History</w:t>
      </w:r>
      <w:r w:rsidRPr="002A7011">
        <w:t>, 75, p.101305.</w:t>
      </w:r>
    </w:p>
    <w:p w:rsidR="00222F36" w:rsidRPr="002A7011" w:rsidRDefault="00222F36">
      <w:pPr>
        <w:pBdr>
          <w:top w:val="nil"/>
          <w:left w:val="nil"/>
          <w:bottom w:val="nil"/>
          <w:right w:val="nil"/>
          <w:between w:val="nil"/>
        </w:pBdr>
      </w:pPr>
    </w:p>
    <w:p w:rsidR="00222F36" w:rsidRPr="002A7011" w:rsidRDefault="000B682F">
      <w:pPr>
        <w:pBdr>
          <w:top w:val="nil"/>
          <w:left w:val="nil"/>
          <w:bottom w:val="nil"/>
          <w:right w:val="nil"/>
          <w:between w:val="nil"/>
        </w:pBdr>
        <w:rPr>
          <w:color w:val="000000"/>
        </w:rPr>
      </w:pPr>
      <w:r w:rsidRPr="002A7011">
        <w:rPr>
          <w:color w:val="000000"/>
        </w:rPr>
        <w:t xml:space="preserve">Damasio, A. (1999). </w:t>
      </w:r>
      <w:r w:rsidRPr="002A7011">
        <w:rPr>
          <w:i/>
          <w:color w:val="000000"/>
        </w:rPr>
        <w:t>The feeling of what happens</w:t>
      </w:r>
      <w:r w:rsidRPr="002A7011">
        <w:rPr>
          <w:color w:val="000000"/>
        </w:rPr>
        <w:t xml:space="preserve">. New York: Harcourt Brace. </w:t>
      </w:r>
      <w:hyperlink r:id="rId51">
        <w:r w:rsidRPr="002A7011">
          <w:rPr>
            <w:color w:val="000000"/>
            <w:u w:val="single"/>
          </w:rPr>
          <w:t>https://doi.org/10.26439/persona2000.n003.1708 </w:t>
        </w:r>
      </w:hyperlink>
    </w:p>
    <w:p w:rsidR="00222F36" w:rsidRPr="002A7011" w:rsidRDefault="00222F36">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rPr>
      </w:pPr>
      <w:r w:rsidRPr="002A7011">
        <w:rPr>
          <w:color w:val="000000"/>
        </w:rPr>
        <w:lastRenderedPageBreak/>
        <w:t xml:space="preserve">De Long, J. and Shleifer, A. (1991). ‘The stock market bubble of 1929: evidence from closed-end mutual funds’, </w:t>
      </w:r>
      <w:r w:rsidRPr="002A7011">
        <w:rPr>
          <w:i/>
          <w:color w:val="000000"/>
        </w:rPr>
        <w:t>The Journal of Economic History</w:t>
      </w:r>
      <w:r w:rsidRPr="002A7011">
        <w:rPr>
          <w:color w:val="000000"/>
        </w:rPr>
        <w:t xml:space="preserve">, 51(03), pp.675-700. </w:t>
      </w:r>
      <w:hyperlink r:id="rId52">
        <w:r w:rsidRPr="002A7011">
          <w:rPr>
            <w:color w:val="000000"/>
            <w:u w:val="single"/>
          </w:rPr>
          <w:t>https://doi.org/10.1017/s0022050700039619 </w:t>
        </w:r>
      </w:hyperlink>
    </w:p>
    <w:p w:rsidR="00222F36" w:rsidRPr="002A7011" w:rsidRDefault="00222F36">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rPr>
      </w:pPr>
      <w:r w:rsidRPr="002A7011">
        <w:rPr>
          <w:color w:val="000000"/>
        </w:rPr>
        <w:t xml:space="preserve">Dominguez, K. and Shapiro, M. (2013). ‘Forecasting the Recovery from the Great Recession: Is This Time Different?’ </w:t>
      </w:r>
      <w:r w:rsidRPr="002A7011">
        <w:rPr>
          <w:i/>
          <w:color w:val="000000"/>
        </w:rPr>
        <w:t>American Economic Review</w:t>
      </w:r>
      <w:r w:rsidRPr="002A7011">
        <w:rPr>
          <w:color w:val="000000"/>
        </w:rPr>
        <w:t xml:space="preserve">, 103(3), pp.147-152. </w:t>
      </w:r>
      <w:hyperlink r:id="rId53">
        <w:r w:rsidRPr="002A7011">
          <w:rPr>
            <w:color w:val="000000"/>
            <w:u w:val="single"/>
          </w:rPr>
          <w:t> https://doi.org/10.1257/aer.103.3.147 </w:t>
        </w:r>
      </w:hyperlink>
    </w:p>
    <w:p w:rsidR="00222F36" w:rsidRPr="002A7011" w:rsidRDefault="00222F36">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rPr>
      </w:pPr>
      <w:r w:rsidRPr="002A7011">
        <w:rPr>
          <w:color w:val="000000"/>
        </w:rPr>
        <w:t xml:space="preserve">Fisher, I. (1932). </w:t>
      </w:r>
      <w:r w:rsidRPr="002A7011">
        <w:rPr>
          <w:i/>
          <w:color w:val="000000"/>
        </w:rPr>
        <w:t>Booms and Depressions. Some first principles</w:t>
      </w:r>
      <w:r w:rsidRPr="002A7011">
        <w:rPr>
          <w:color w:val="000000"/>
        </w:rPr>
        <w:t>. New York: Adelphi.</w:t>
      </w:r>
    </w:p>
    <w:p w:rsidR="00222F36" w:rsidRPr="002A7011" w:rsidRDefault="00222F36">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rPr>
      </w:pPr>
      <w:r w:rsidRPr="002A7011">
        <w:rPr>
          <w:color w:val="000000"/>
        </w:rPr>
        <w:t xml:space="preserve">Galbraith, J.K. (1955). </w:t>
      </w:r>
      <w:r w:rsidRPr="002A7011">
        <w:rPr>
          <w:i/>
          <w:color w:val="000000"/>
        </w:rPr>
        <w:t>The Great Crash, 1929</w:t>
      </w:r>
      <w:r w:rsidRPr="002A7011">
        <w:rPr>
          <w:color w:val="000000"/>
        </w:rPr>
        <w:t xml:space="preserve"> Boston: Houghton Mifflin </w:t>
      </w:r>
    </w:p>
    <w:p w:rsidR="00222F36" w:rsidRPr="002A7011" w:rsidRDefault="00222F36">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rPr>
      </w:pPr>
      <w:r w:rsidRPr="002A7011">
        <w:rPr>
          <w:color w:val="000000"/>
        </w:rPr>
        <w:t xml:space="preserve">Garcia, D. (2013) ‘Sentiment during Recessions’ </w:t>
      </w:r>
      <w:r w:rsidRPr="002A7011">
        <w:rPr>
          <w:i/>
          <w:color w:val="000000"/>
        </w:rPr>
        <w:t>The Journal of Finance</w:t>
      </w:r>
      <w:r w:rsidRPr="002A7011">
        <w:rPr>
          <w:color w:val="000000"/>
        </w:rPr>
        <w:t>, 68(3), pp.1267-1300 https://doi.org/10.1111/jofi.12027</w:t>
      </w:r>
    </w:p>
    <w:p w:rsidR="00222F36" w:rsidRPr="002A7011" w:rsidRDefault="00222F36">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rPr>
      </w:pPr>
      <w:r w:rsidRPr="002A7011">
        <w:rPr>
          <w:color w:val="000000"/>
        </w:rPr>
        <w:t xml:space="preserve">Graham, B. and Dodd, D. (1934). </w:t>
      </w:r>
      <w:r w:rsidRPr="002A7011">
        <w:rPr>
          <w:i/>
          <w:color w:val="000000"/>
        </w:rPr>
        <w:t>Security analysis</w:t>
      </w:r>
      <w:r w:rsidRPr="002A7011">
        <w:rPr>
          <w:color w:val="000000"/>
        </w:rPr>
        <w:t>. [New York]: McGraw-Hill.</w:t>
      </w:r>
    </w:p>
    <w:p w:rsidR="00222F36" w:rsidRPr="002A7011" w:rsidRDefault="00222F36">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rPr>
      </w:pPr>
      <w:r w:rsidRPr="002A7011">
        <w:rPr>
          <w:color w:val="000000"/>
        </w:rPr>
        <w:t xml:space="preserve">Haddow, A, Hare, C, Hooley, J and Shakir, T (2013) ‘Macroeconomic uncertainty; what is it, how can we measure it and why does it matter?’ </w:t>
      </w:r>
      <w:r w:rsidRPr="002A7011">
        <w:rPr>
          <w:i/>
          <w:color w:val="000000"/>
        </w:rPr>
        <w:t>Bank of England Quarterly Bulletin</w:t>
      </w:r>
      <w:r w:rsidRPr="002A7011">
        <w:rPr>
          <w:color w:val="000000"/>
        </w:rPr>
        <w:t xml:space="preserve">, Vol. 53, No. 2, pages 100-109. </w:t>
      </w:r>
    </w:p>
    <w:p w:rsidR="00222F36" w:rsidRPr="002A7011" w:rsidRDefault="00C30D87">
      <w:pPr>
        <w:pBdr>
          <w:top w:val="nil"/>
          <w:left w:val="nil"/>
          <w:bottom w:val="nil"/>
          <w:right w:val="nil"/>
          <w:between w:val="nil"/>
        </w:pBdr>
        <w:rPr>
          <w:color w:val="000000"/>
        </w:rPr>
      </w:pPr>
      <w:hyperlink r:id="rId54">
        <w:r w:rsidR="000B682F" w:rsidRPr="002A7011">
          <w:rPr>
            <w:color w:val="000000"/>
            <w:u w:val="single"/>
          </w:rPr>
          <w:t>https://www.bankofengland.co.uk/quarterly-bulletin/2013/q2/macroeconomic-uncertainty-what-is-it-how-can-we-measure-it-and-why-does-it-matter</w:t>
        </w:r>
      </w:hyperlink>
      <w:r w:rsidR="000B682F" w:rsidRPr="002A7011">
        <w:rPr>
          <w:color w:val="000000"/>
        </w:rPr>
        <w:t xml:space="preserve"> [accessed 11 October 2017]</w:t>
      </w:r>
    </w:p>
    <w:p w:rsidR="00222F36" w:rsidRPr="002A7011" w:rsidRDefault="00222F36">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rPr>
      </w:pPr>
      <w:r w:rsidRPr="002A7011">
        <w:rPr>
          <w:color w:val="000000"/>
        </w:rPr>
        <w:t xml:space="preserve">Hall, P. (1992). </w:t>
      </w:r>
      <w:r w:rsidRPr="002A7011">
        <w:rPr>
          <w:i/>
          <w:color w:val="000000"/>
        </w:rPr>
        <w:t>The Bootstrap and Edgeworth Expansion</w:t>
      </w:r>
      <w:r w:rsidRPr="002A7011">
        <w:rPr>
          <w:color w:val="000000"/>
        </w:rPr>
        <w:t xml:space="preserve">, New York: Springer-Verlag. </w:t>
      </w:r>
    </w:p>
    <w:p w:rsidR="00222F36" w:rsidRPr="002A7011" w:rsidRDefault="00222F36">
      <w:pPr>
        <w:pBdr>
          <w:top w:val="nil"/>
          <w:left w:val="nil"/>
          <w:bottom w:val="nil"/>
          <w:right w:val="nil"/>
          <w:between w:val="nil"/>
        </w:pBdr>
      </w:pPr>
    </w:p>
    <w:p w:rsidR="00222F36" w:rsidRPr="002A7011" w:rsidRDefault="000B682F">
      <w:pPr>
        <w:pBdr>
          <w:top w:val="nil"/>
          <w:left w:val="nil"/>
          <w:bottom w:val="nil"/>
          <w:right w:val="nil"/>
          <w:between w:val="nil"/>
        </w:pBdr>
      </w:pPr>
      <w:r w:rsidRPr="002A7011">
        <w:t xml:space="preserve">Hanna, A. J., J. D. Turner, and C. B. Walker (2020): “News Media and Investor Sentiment during Bull and Bear Markets,” </w:t>
      </w:r>
      <w:r w:rsidRPr="002A7011">
        <w:rPr>
          <w:i/>
        </w:rPr>
        <w:t>European Journal of Finance</w:t>
      </w:r>
      <w:r w:rsidRPr="002A7011">
        <w:t>, 26, 1377–195.</w:t>
      </w:r>
    </w:p>
    <w:p w:rsidR="00222F36" w:rsidRPr="002A7011" w:rsidRDefault="00222F36">
      <w:pPr>
        <w:pBdr>
          <w:top w:val="nil"/>
          <w:left w:val="nil"/>
          <w:bottom w:val="nil"/>
          <w:right w:val="nil"/>
          <w:between w:val="nil"/>
        </w:pBdr>
      </w:pPr>
    </w:p>
    <w:p w:rsidR="00222F36" w:rsidRPr="002A7011" w:rsidRDefault="000B682F">
      <w:pPr>
        <w:pBdr>
          <w:top w:val="nil"/>
          <w:left w:val="nil"/>
          <w:bottom w:val="nil"/>
          <w:right w:val="nil"/>
          <w:between w:val="nil"/>
        </w:pBdr>
      </w:pPr>
      <w:r w:rsidRPr="002A7011">
        <w:lastRenderedPageBreak/>
        <w:t xml:space="preserve">Hills, T. T., E. Proto, D. Sgroi, and C. I. Seresinhe (2019): “Historical Analysis of National Subjective Wellbeing Using Millions of Digitized Books,” </w:t>
      </w:r>
      <w:r w:rsidRPr="002A7011">
        <w:rPr>
          <w:i/>
        </w:rPr>
        <w:t>Nature Human Behaviour</w:t>
      </w:r>
      <w:r w:rsidRPr="002A7011">
        <w:t>, 3, 1271–75.</w:t>
      </w:r>
    </w:p>
    <w:p w:rsidR="00222F36" w:rsidRPr="002A7011" w:rsidRDefault="00222F36">
      <w:pPr>
        <w:pBdr>
          <w:top w:val="nil"/>
          <w:left w:val="nil"/>
          <w:bottom w:val="nil"/>
          <w:right w:val="nil"/>
          <w:between w:val="nil"/>
        </w:pBdr>
      </w:pPr>
    </w:p>
    <w:p w:rsidR="00222F36" w:rsidRPr="002A7011" w:rsidRDefault="000B682F">
      <w:pPr>
        <w:pBdr>
          <w:top w:val="nil"/>
          <w:left w:val="nil"/>
          <w:bottom w:val="nil"/>
          <w:right w:val="nil"/>
          <w:between w:val="nil"/>
        </w:pBdr>
        <w:rPr>
          <w:color w:val="000000"/>
        </w:rPr>
      </w:pPr>
      <w:r w:rsidRPr="002A7011">
        <w:rPr>
          <w:color w:val="000000"/>
        </w:rPr>
        <w:t>Jalil, A. and Rua, G., (2016). Inflation expectations and recovery in spring 1933. </w:t>
      </w:r>
      <w:r w:rsidRPr="002A7011">
        <w:rPr>
          <w:i/>
          <w:color w:val="000000"/>
        </w:rPr>
        <w:t>Explorations in Economic History</w:t>
      </w:r>
      <w:r w:rsidRPr="002A7011">
        <w:rPr>
          <w:color w:val="000000"/>
        </w:rPr>
        <w:t>, 62, pp.26-50.</w:t>
      </w:r>
    </w:p>
    <w:p w:rsidR="00222F36" w:rsidRPr="002A7011" w:rsidRDefault="00222F36">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rPr>
      </w:pPr>
      <w:r w:rsidRPr="002A7011">
        <w:rPr>
          <w:color w:val="000000"/>
        </w:rPr>
        <w:t xml:space="preserve">Johansen, S. (1995). </w:t>
      </w:r>
      <w:r w:rsidRPr="002A7011">
        <w:rPr>
          <w:i/>
          <w:color w:val="000000"/>
        </w:rPr>
        <w:t>Likelihood-based Inference in Cointegrated Vector Autoregressive Models</w:t>
      </w:r>
      <w:r w:rsidRPr="002A7011">
        <w:rPr>
          <w:color w:val="000000"/>
        </w:rPr>
        <w:t xml:space="preserve">, Oxford: Oxford University Press.  </w:t>
      </w:r>
    </w:p>
    <w:p w:rsidR="00222F36" w:rsidRPr="002A7011" w:rsidRDefault="00C30D87">
      <w:pPr>
        <w:pBdr>
          <w:top w:val="nil"/>
          <w:left w:val="nil"/>
          <w:bottom w:val="nil"/>
          <w:right w:val="nil"/>
          <w:between w:val="nil"/>
        </w:pBdr>
        <w:rPr>
          <w:color w:val="000000"/>
        </w:rPr>
      </w:pPr>
      <w:hyperlink r:id="rId55">
        <w:r w:rsidR="000B682F" w:rsidRPr="002A7011">
          <w:rPr>
            <w:color w:val="000000"/>
            <w:u w:val="single"/>
          </w:rPr>
          <w:t> https://doi.org/10.1093/0198774508.001.0001 </w:t>
        </w:r>
      </w:hyperlink>
    </w:p>
    <w:p w:rsidR="00222F36" w:rsidRPr="002A7011" w:rsidRDefault="00222F36">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rPr>
      </w:pPr>
      <w:r w:rsidRPr="002A7011">
        <w:rPr>
          <w:color w:val="000000"/>
        </w:rPr>
        <w:t xml:space="preserve">Johnson, S.G.B, Bilovich, A. and Tuckett, D. (2021). ‘Conviction Narrative Theory: A theory of choice under radical uncertainty,’  </w:t>
      </w:r>
    </w:p>
    <w:p w:rsidR="00222F36" w:rsidRPr="002A7011" w:rsidRDefault="000B682F">
      <w:pPr>
        <w:pBdr>
          <w:top w:val="nil"/>
          <w:left w:val="nil"/>
          <w:bottom w:val="nil"/>
          <w:right w:val="nil"/>
          <w:between w:val="nil"/>
        </w:pBdr>
        <w:rPr>
          <w:color w:val="000000"/>
        </w:rPr>
      </w:pPr>
      <w:r w:rsidRPr="002A7011">
        <w:rPr>
          <w:color w:val="000000"/>
        </w:rPr>
        <w:t>https://doi.org/10.31234/osf.io/urc96</w:t>
      </w:r>
    </w:p>
    <w:p w:rsidR="00222F36" w:rsidRPr="002A7011" w:rsidRDefault="00222F36">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rPr>
      </w:pPr>
      <w:r w:rsidRPr="002A7011">
        <w:rPr>
          <w:color w:val="000000"/>
        </w:rPr>
        <w:t xml:space="preserve">Keynes, J.M. (1936). </w:t>
      </w:r>
      <w:r w:rsidRPr="002A7011">
        <w:rPr>
          <w:i/>
          <w:color w:val="000000"/>
        </w:rPr>
        <w:t>The General Theory of Employment, Interest, and Money</w:t>
      </w:r>
      <w:r w:rsidRPr="002A7011">
        <w:rPr>
          <w:color w:val="000000"/>
        </w:rPr>
        <w:t xml:space="preserve">. Palgrave Macmillan. </w:t>
      </w:r>
    </w:p>
    <w:p w:rsidR="00222F36" w:rsidRPr="002A7011" w:rsidRDefault="00222F36">
      <w:pPr>
        <w:pBdr>
          <w:top w:val="nil"/>
          <w:left w:val="nil"/>
          <w:bottom w:val="nil"/>
          <w:right w:val="nil"/>
          <w:between w:val="nil"/>
        </w:pBdr>
      </w:pPr>
    </w:p>
    <w:p w:rsidR="00222F36" w:rsidRPr="002A7011" w:rsidRDefault="000B682F">
      <w:pPr>
        <w:pBdr>
          <w:top w:val="nil"/>
          <w:left w:val="nil"/>
          <w:bottom w:val="nil"/>
          <w:right w:val="nil"/>
          <w:between w:val="nil"/>
        </w:pBdr>
      </w:pPr>
      <w:r w:rsidRPr="002A7011">
        <w:t xml:space="preserve">Lennard, J. (2020): “Uncertainty and the Great Slump,” </w:t>
      </w:r>
      <w:r w:rsidRPr="002A7011">
        <w:rPr>
          <w:i/>
        </w:rPr>
        <w:t>Economic History Review</w:t>
      </w:r>
      <w:r w:rsidRPr="002A7011">
        <w:t>, 73, 844–67.</w:t>
      </w:r>
    </w:p>
    <w:p w:rsidR="00222F36" w:rsidRPr="002A7011" w:rsidRDefault="00222F36">
      <w:pPr>
        <w:pBdr>
          <w:top w:val="nil"/>
          <w:left w:val="nil"/>
          <w:bottom w:val="nil"/>
          <w:right w:val="nil"/>
          <w:between w:val="nil"/>
        </w:pBdr>
      </w:pPr>
    </w:p>
    <w:p w:rsidR="00222F36" w:rsidRPr="002A7011" w:rsidRDefault="000B682F">
      <w:pPr>
        <w:pBdr>
          <w:top w:val="nil"/>
          <w:left w:val="nil"/>
          <w:bottom w:val="nil"/>
          <w:right w:val="nil"/>
          <w:between w:val="nil"/>
        </w:pBdr>
        <w:rPr>
          <w:i/>
          <w:color w:val="000000"/>
        </w:rPr>
      </w:pPr>
      <w:r w:rsidRPr="002A7011">
        <w:rPr>
          <w:color w:val="000000"/>
        </w:rPr>
        <w:t xml:space="preserve">Loughran, T. and McDonald, B., (2011). ‘When is a Liability not a Liability? Textual Analysis, Dictionaries, and 10-Ks,’ </w:t>
      </w:r>
      <w:r w:rsidRPr="002A7011">
        <w:rPr>
          <w:i/>
          <w:color w:val="000000"/>
        </w:rPr>
        <w:t xml:space="preserve">Journal of Finance, </w:t>
      </w:r>
      <w:r w:rsidRPr="002A7011">
        <w:rPr>
          <w:color w:val="000000"/>
        </w:rPr>
        <w:t xml:space="preserve">66(1), 36—65. </w:t>
      </w:r>
    </w:p>
    <w:p w:rsidR="00222F36" w:rsidRPr="002A7011" w:rsidRDefault="00222F36">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rPr>
      </w:pPr>
      <w:r w:rsidRPr="002A7011">
        <w:rPr>
          <w:color w:val="000000"/>
        </w:rPr>
        <w:t xml:space="preserve">Manela, A. and Moreira, A., (2017). ‘News implied volatility and disaster concerns’, </w:t>
      </w:r>
      <w:hyperlink r:id="rId56">
        <w:r w:rsidRPr="002A7011">
          <w:rPr>
            <w:i/>
            <w:color w:val="000000"/>
          </w:rPr>
          <w:t>Journal of Financial Economics</w:t>
        </w:r>
      </w:hyperlink>
      <w:r w:rsidRPr="002A7011">
        <w:rPr>
          <w:color w:val="000000"/>
        </w:rPr>
        <w:t xml:space="preserve">, 123(1), pages 137-162. </w:t>
      </w:r>
      <w:hyperlink r:id="rId57">
        <w:r w:rsidRPr="002A7011">
          <w:rPr>
            <w:color w:val="000000"/>
            <w:u w:val="single"/>
          </w:rPr>
          <w:t>https://doi.org/10.1016/j.jfineco.2016.01.032 </w:t>
        </w:r>
      </w:hyperlink>
    </w:p>
    <w:p w:rsidR="00222F36" w:rsidRPr="002A7011" w:rsidRDefault="00222F36">
      <w:pPr>
        <w:pBdr>
          <w:top w:val="nil"/>
          <w:left w:val="nil"/>
          <w:bottom w:val="nil"/>
          <w:right w:val="nil"/>
          <w:between w:val="nil"/>
        </w:pBdr>
      </w:pPr>
    </w:p>
    <w:p w:rsidR="00222F36" w:rsidRPr="002A7011" w:rsidRDefault="000B682F">
      <w:pPr>
        <w:pBdr>
          <w:top w:val="nil"/>
          <w:left w:val="nil"/>
          <w:bottom w:val="nil"/>
          <w:right w:val="nil"/>
          <w:between w:val="nil"/>
        </w:pBdr>
      </w:pPr>
      <w:r w:rsidRPr="002A7011">
        <w:t xml:space="preserve">Mankiw, N. G. and Miron, J. A., (1985). ‘The Changing Behavior of the Term Structure of Interest Rates,’ NBER Working Paper No 1669, NBER, Cambridge, MA. </w:t>
      </w:r>
    </w:p>
    <w:p w:rsidR="00222F36" w:rsidRPr="002A7011" w:rsidRDefault="00222F36">
      <w:pPr>
        <w:pBdr>
          <w:top w:val="nil"/>
          <w:left w:val="nil"/>
          <w:bottom w:val="nil"/>
          <w:right w:val="nil"/>
          <w:between w:val="nil"/>
        </w:pBdr>
      </w:pPr>
    </w:p>
    <w:p w:rsidR="00222F36" w:rsidRPr="002A7011" w:rsidRDefault="000B682F">
      <w:pPr>
        <w:pBdr>
          <w:top w:val="nil"/>
          <w:left w:val="nil"/>
          <w:bottom w:val="nil"/>
          <w:right w:val="nil"/>
          <w:between w:val="nil"/>
        </w:pBdr>
      </w:pPr>
      <w:r w:rsidRPr="002A7011">
        <w:lastRenderedPageBreak/>
        <w:t xml:space="preserve">Mathy, G. (2020): “How Much Did Uncertainty Shocks Matter in the Great Depression?” </w:t>
      </w:r>
      <w:r w:rsidRPr="002A7011">
        <w:rPr>
          <w:i/>
        </w:rPr>
        <w:t>Cliometrica</w:t>
      </w:r>
      <w:r w:rsidRPr="002A7011">
        <w:t>, 14, 283–323.</w:t>
      </w:r>
    </w:p>
    <w:p w:rsidR="00222F36" w:rsidRPr="002A7011" w:rsidRDefault="00222F36">
      <w:pPr>
        <w:pBdr>
          <w:top w:val="nil"/>
          <w:left w:val="nil"/>
          <w:bottom w:val="nil"/>
          <w:right w:val="nil"/>
          <w:between w:val="nil"/>
        </w:pBdr>
      </w:pPr>
    </w:p>
    <w:p w:rsidR="00222F36" w:rsidRPr="002A7011" w:rsidRDefault="000B682F">
      <w:pPr>
        <w:pBdr>
          <w:top w:val="nil"/>
          <w:left w:val="nil"/>
          <w:bottom w:val="nil"/>
          <w:right w:val="nil"/>
          <w:between w:val="nil"/>
        </w:pBdr>
        <w:rPr>
          <w:color w:val="000000"/>
        </w:rPr>
      </w:pPr>
      <w:r w:rsidRPr="002A7011">
        <w:rPr>
          <w:color w:val="000000"/>
        </w:rPr>
        <w:t xml:space="preserve">Mathy, G. amd Ziebarth, N. (2017). “How much does Political Uncertainty Matter? The Case of Louisiana under Huey Long.” </w:t>
      </w:r>
      <w:r w:rsidRPr="002A7011">
        <w:rPr>
          <w:i/>
          <w:color w:val="000000"/>
        </w:rPr>
        <w:t>The Journal of Economic History</w:t>
      </w:r>
      <w:r w:rsidRPr="002A7011">
        <w:rPr>
          <w:color w:val="000000"/>
        </w:rPr>
        <w:t xml:space="preserve">, 77(1): 90 – 126. </w:t>
      </w:r>
    </w:p>
    <w:p w:rsidR="00222F36" w:rsidRPr="002A7011" w:rsidRDefault="00222F36">
      <w:pPr>
        <w:pBdr>
          <w:top w:val="nil"/>
          <w:left w:val="nil"/>
          <w:bottom w:val="nil"/>
          <w:right w:val="nil"/>
          <w:between w:val="nil"/>
        </w:pBdr>
        <w:rPr>
          <w:color w:val="000000"/>
        </w:rPr>
      </w:pPr>
    </w:p>
    <w:p w:rsidR="00222F36" w:rsidRPr="002A7011" w:rsidRDefault="000B682F">
      <w:r w:rsidRPr="002A7011">
        <w:rPr>
          <w:color w:val="000000"/>
        </w:rPr>
        <w:t xml:space="preserve">Püttmann, L. (2018). ‘Patterns of Panic: </w:t>
      </w:r>
      <w:r w:rsidRPr="002A7011">
        <w:t xml:space="preserve">Financial Crisis Language in Historical Newspapers (April 27, 2018). SSRN: </w:t>
      </w:r>
      <w:r w:rsidRPr="002A7011">
        <w:rPr>
          <w:u w:val="single"/>
        </w:rPr>
        <w:t xml:space="preserve">http://dx.doi.org/10.2139/ssrn.3156287 </w:t>
      </w:r>
    </w:p>
    <w:p w:rsidR="00222F36" w:rsidRPr="002A7011" w:rsidRDefault="00222F36">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rPr>
      </w:pPr>
      <w:r w:rsidRPr="002A7011">
        <w:rPr>
          <w:color w:val="000000"/>
        </w:rPr>
        <w:t xml:space="preserve">Ramey, V. and Shapiro, M. (1999). ‘Displaced Capital’. </w:t>
      </w:r>
      <w:r w:rsidRPr="002A7011">
        <w:rPr>
          <w:i/>
          <w:color w:val="000000"/>
        </w:rPr>
        <w:t>SSRN Electronic Journal</w:t>
      </w:r>
      <w:r w:rsidRPr="002A7011">
        <w:rPr>
          <w:color w:val="000000"/>
        </w:rPr>
        <w:t xml:space="preserve">. </w:t>
      </w:r>
      <w:hyperlink r:id="rId58">
        <w:r w:rsidRPr="002A7011">
          <w:rPr>
            <w:color w:val="000000"/>
            <w:u w:val="single"/>
          </w:rPr>
          <w:t> https://doi.org/10.2139/ssrn.138980 </w:t>
        </w:r>
      </w:hyperlink>
    </w:p>
    <w:p w:rsidR="00222F36" w:rsidRPr="002A7011" w:rsidRDefault="00222F36">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rPr>
      </w:pPr>
      <w:r w:rsidRPr="002A7011">
        <w:rPr>
          <w:color w:val="000000"/>
        </w:rPr>
        <w:t>Rappoport, P. and White, E.N., (1993). ‘</w:t>
      </w:r>
      <w:hyperlink r:id="rId59">
        <w:r w:rsidRPr="002A7011">
          <w:rPr>
            <w:color w:val="000000"/>
          </w:rPr>
          <w:t>Was There a Bubble in the 1929 Stock Market?</w:t>
        </w:r>
      </w:hyperlink>
      <w:r w:rsidRPr="002A7011">
        <w:rPr>
          <w:color w:val="000000"/>
        </w:rPr>
        <w:t xml:space="preserve">’, </w:t>
      </w:r>
      <w:hyperlink r:id="rId60">
        <w:r w:rsidRPr="002A7011">
          <w:rPr>
            <w:i/>
            <w:color w:val="000000"/>
          </w:rPr>
          <w:t>The Journal of Economic History</w:t>
        </w:r>
      </w:hyperlink>
      <w:r w:rsidRPr="002A7011">
        <w:rPr>
          <w:color w:val="000000"/>
        </w:rPr>
        <w:t xml:space="preserve">, Cambridge University Press, vol. 53(03), pages 549-574 </w:t>
      </w:r>
      <w:hyperlink r:id="rId61">
        <w:r w:rsidRPr="002A7011">
          <w:rPr>
            <w:color w:val="000000"/>
            <w:u w:val="single"/>
          </w:rPr>
          <w:t> https://doi.org/10.1017/s0022050700013486 </w:t>
        </w:r>
      </w:hyperlink>
    </w:p>
    <w:p w:rsidR="00222F36" w:rsidRPr="002A7011" w:rsidRDefault="00222F36">
      <w:pPr>
        <w:pBdr>
          <w:top w:val="nil"/>
          <w:left w:val="nil"/>
          <w:bottom w:val="nil"/>
          <w:right w:val="nil"/>
          <w:between w:val="nil"/>
        </w:pBdr>
        <w:rPr>
          <w:color w:val="000000"/>
        </w:rPr>
      </w:pPr>
    </w:p>
    <w:p w:rsidR="00D17069" w:rsidRPr="002A7011" w:rsidRDefault="00D17069" w:rsidP="00D17069">
      <w:pPr>
        <w:rPr>
          <w:u w:val="single"/>
          <w:lang w:val="en-US"/>
        </w:rPr>
      </w:pPr>
      <w:r w:rsidRPr="002A7011">
        <w:rPr>
          <w:lang w:val="en-US"/>
        </w:rPr>
        <w:t xml:space="preserve">Romer, C.D. (1990) ‘The Great Crash and the Onset of the Great Depression’ </w:t>
      </w:r>
      <w:r w:rsidRPr="002A7011">
        <w:rPr>
          <w:i/>
          <w:iCs/>
          <w:lang w:val="en-US"/>
        </w:rPr>
        <w:t>The Quarterly Journal of Economics</w:t>
      </w:r>
      <w:r w:rsidRPr="002A7011">
        <w:rPr>
          <w:lang w:val="en-US"/>
        </w:rPr>
        <w:t xml:space="preserve">, 105 (3) 597-624. </w:t>
      </w:r>
      <w:r w:rsidRPr="002A7011">
        <w:rPr>
          <w:rFonts w:eastAsiaTheme="majorEastAsia"/>
          <w:u w:val="single"/>
          <w:lang w:val="en-US"/>
        </w:rPr>
        <w:t>https://doi.org/10.2307/2937892</w:t>
      </w:r>
    </w:p>
    <w:p w:rsidR="00D17069" w:rsidRPr="002A7011" w:rsidRDefault="00D17069">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rPr>
      </w:pPr>
      <w:r w:rsidRPr="002A7011">
        <w:rPr>
          <w:color w:val="000000"/>
        </w:rPr>
        <w:t>Romer, C. D. and Romer, D.H. (2010) ‘The Macroeconomic Effects of Tax Changes: Estimates Based on a New Measure of Fiscal Shocks</w:t>
      </w:r>
      <w:r w:rsidRPr="002A7011">
        <w:rPr>
          <w:i/>
          <w:color w:val="000000"/>
        </w:rPr>
        <w:t>.’ American Economic Review</w:t>
      </w:r>
      <w:r w:rsidRPr="002A7011">
        <w:rPr>
          <w:color w:val="000000"/>
        </w:rPr>
        <w:t xml:space="preserve">, 100 (3), 763-801 </w:t>
      </w:r>
      <w:hyperlink r:id="rId62">
        <w:r w:rsidRPr="002A7011">
          <w:rPr>
            <w:color w:val="000000"/>
            <w:u w:val="single"/>
          </w:rPr>
          <w:t> https://doi.org/10.1257/aer.100.3.763 </w:t>
        </w:r>
      </w:hyperlink>
    </w:p>
    <w:p w:rsidR="00222F36" w:rsidRPr="002A7011" w:rsidRDefault="00222F36">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rPr>
      </w:pPr>
      <w:r w:rsidRPr="002A7011">
        <w:rPr>
          <w:color w:val="000000"/>
        </w:rPr>
        <w:t xml:space="preserve">Rosenberg, Jerry M. (1982) </w:t>
      </w:r>
      <w:r w:rsidRPr="002A7011">
        <w:rPr>
          <w:i/>
          <w:color w:val="000000"/>
        </w:rPr>
        <w:t>Inside the WSJ: The Power and the History of Dow Jones and Company and America’s most influential Newspaper,</w:t>
      </w:r>
      <w:r w:rsidRPr="002A7011">
        <w:rPr>
          <w:color w:val="000000"/>
        </w:rPr>
        <w:t xml:space="preserve"> Macmillan, ISBN 9780026048606. </w:t>
      </w:r>
    </w:p>
    <w:p w:rsidR="00222F36" w:rsidRPr="002A7011" w:rsidRDefault="00222F36">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rPr>
      </w:pPr>
      <w:r w:rsidRPr="002A7011">
        <w:rPr>
          <w:color w:val="000000"/>
        </w:rPr>
        <w:t xml:space="preserve">Shiller, R. (1981). ‘Do Stock Prices Move Too Much to be justified by Subsequent Changes in Dividends?’ </w:t>
      </w:r>
      <w:r w:rsidRPr="002A7011">
        <w:rPr>
          <w:i/>
          <w:color w:val="000000"/>
        </w:rPr>
        <w:t>The American Economic Review,</w:t>
      </w:r>
      <w:r w:rsidRPr="002A7011">
        <w:rPr>
          <w:color w:val="000000"/>
        </w:rPr>
        <w:t xml:space="preserve"> </w:t>
      </w:r>
      <w:r w:rsidRPr="002A7011">
        <w:rPr>
          <w:i/>
          <w:color w:val="000000"/>
        </w:rPr>
        <w:t>71</w:t>
      </w:r>
      <w:r w:rsidRPr="002A7011">
        <w:rPr>
          <w:color w:val="000000"/>
        </w:rPr>
        <w:t>(3), 421-436.</w:t>
      </w:r>
    </w:p>
    <w:p w:rsidR="00222F36" w:rsidRPr="002A7011" w:rsidRDefault="00222F36">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rPr>
      </w:pPr>
      <w:r w:rsidRPr="002A7011">
        <w:rPr>
          <w:color w:val="000000"/>
        </w:rPr>
        <w:t xml:space="preserve"> </w:t>
      </w:r>
      <w:r w:rsidRPr="002A7011">
        <w:rPr>
          <w:strike/>
          <w:color w:val="000000"/>
        </w:rPr>
        <w:t xml:space="preserve">                </w:t>
      </w:r>
      <w:r w:rsidRPr="002A7011">
        <w:rPr>
          <w:color w:val="000000"/>
        </w:rPr>
        <w:t xml:space="preserve">(2000). </w:t>
      </w:r>
      <w:r w:rsidRPr="002A7011">
        <w:rPr>
          <w:i/>
          <w:color w:val="000000"/>
        </w:rPr>
        <w:t>Irrational Exuberance,</w:t>
      </w:r>
      <w:r w:rsidRPr="002A7011">
        <w:rPr>
          <w:color w:val="000000"/>
        </w:rPr>
        <w:t xml:space="preserve"> Princeton University Press. </w:t>
      </w:r>
      <w:hyperlink r:id="rId63">
        <w:r w:rsidRPr="002A7011">
          <w:rPr>
            <w:color w:val="000000"/>
            <w:u w:val="single"/>
          </w:rPr>
          <w:t>https://doi.org/10.1108/jes.2001.28.6.446.1 </w:t>
        </w:r>
      </w:hyperlink>
    </w:p>
    <w:p w:rsidR="00222F36" w:rsidRPr="002A7011" w:rsidRDefault="00222F36">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rPr>
      </w:pPr>
      <w:r w:rsidRPr="002A7011">
        <w:rPr>
          <w:color w:val="000000"/>
        </w:rPr>
        <w:t xml:space="preserve">Tetlock, P.C. (2007). ‘Giving Content to Investor Sentiment: The Role of Media in the Stock Market’. </w:t>
      </w:r>
      <w:r w:rsidRPr="002A7011">
        <w:rPr>
          <w:i/>
          <w:color w:val="000000"/>
        </w:rPr>
        <w:t>The Journal of Finance</w:t>
      </w:r>
      <w:r w:rsidRPr="002A7011">
        <w:rPr>
          <w:color w:val="000000"/>
        </w:rPr>
        <w:t xml:space="preserve">, 62(3): pp. 1139–1168 </w:t>
      </w:r>
      <w:hyperlink r:id="rId64">
        <w:r w:rsidRPr="002A7011">
          <w:rPr>
            <w:color w:val="000000"/>
            <w:u w:val="single"/>
          </w:rPr>
          <w:t> https://doi.org/10.1111/j.1540-6261.2007.01232.x </w:t>
        </w:r>
      </w:hyperlink>
    </w:p>
    <w:p w:rsidR="00222F36" w:rsidRPr="002A7011" w:rsidRDefault="00222F36">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rPr>
      </w:pPr>
      <w:r w:rsidRPr="002A7011">
        <w:rPr>
          <w:color w:val="000000"/>
        </w:rPr>
        <w:t xml:space="preserve">Tuckett, D. (2011). </w:t>
      </w:r>
      <w:r w:rsidRPr="002A7011">
        <w:rPr>
          <w:i/>
          <w:color w:val="000000"/>
        </w:rPr>
        <w:t>Minding the Markets: An Emotional Finance View of Financial Instability</w:t>
      </w:r>
      <w:r w:rsidRPr="002A7011">
        <w:rPr>
          <w:color w:val="000000"/>
        </w:rPr>
        <w:t xml:space="preserve">. Palgrave Macmillan. </w:t>
      </w:r>
      <w:hyperlink r:id="rId65">
        <w:r w:rsidRPr="002A7011">
          <w:rPr>
            <w:color w:val="000000"/>
            <w:u w:val="single"/>
          </w:rPr>
          <w:t>https://doi.org/10.1057/9780230307827 </w:t>
        </w:r>
      </w:hyperlink>
    </w:p>
    <w:p w:rsidR="00222F36" w:rsidRPr="002A7011" w:rsidRDefault="000B682F">
      <w:pPr>
        <w:spacing w:before="240" w:after="240"/>
        <w:rPr>
          <w:u w:val="single"/>
        </w:rPr>
      </w:pPr>
      <w:r w:rsidRPr="002A7011">
        <w:t xml:space="preserve">Tuckett, D. Smith, R.E. and Nyman, R. (2014) ‘Tracking phantastic objects: A computer algorithmic investigation of narrative evolution in unstructured data sources, </w:t>
      </w:r>
      <w:r w:rsidRPr="002A7011">
        <w:rPr>
          <w:i/>
        </w:rPr>
        <w:t>Social Networks</w:t>
      </w:r>
      <w:r w:rsidRPr="002A7011">
        <w:t xml:space="preserve">, Volume 38, Pages 121-133, ISSN 0378-8733, Available at SSRN: </w:t>
      </w:r>
      <w:hyperlink r:id="rId66">
        <w:r w:rsidRPr="002A7011">
          <w:rPr>
            <w:u w:val="single"/>
          </w:rPr>
          <w:t>https://ssrn.com/abstract=2405447</w:t>
        </w:r>
      </w:hyperlink>
      <w:r w:rsidRPr="002A7011">
        <w:t xml:space="preserve"> or </w:t>
      </w:r>
      <w:hyperlink r:id="rId67">
        <w:r w:rsidRPr="002A7011">
          <w:rPr>
            <w:u w:val="single"/>
          </w:rPr>
          <w:t>http://dx.doi.org/10.2139/ssrn.2405447</w:t>
        </w:r>
      </w:hyperlink>
    </w:p>
    <w:p w:rsidR="00222F36" w:rsidRPr="002A7011" w:rsidRDefault="00222F36">
      <w:pPr>
        <w:pBdr>
          <w:top w:val="nil"/>
          <w:left w:val="nil"/>
          <w:bottom w:val="nil"/>
          <w:right w:val="nil"/>
          <w:between w:val="nil"/>
        </w:pBdr>
      </w:pPr>
    </w:p>
    <w:p w:rsidR="00222F36" w:rsidRPr="002A7011" w:rsidRDefault="000B682F">
      <w:pPr>
        <w:pBdr>
          <w:top w:val="nil"/>
          <w:left w:val="nil"/>
          <w:bottom w:val="nil"/>
          <w:right w:val="nil"/>
          <w:between w:val="nil"/>
        </w:pBdr>
        <w:rPr>
          <w:color w:val="000000"/>
        </w:rPr>
      </w:pPr>
      <w:r w:rsidRPr="002A7011">
        <w:rPr>
          <w:color w:val="000000"/>
        </w:rPr>
        <w:t xml:space="preserve">Tuckett, D. and Nikolic, M. (2017). The role of conviction and narrative in decision-making under radical uncertainty. </w:t>
      </w:r>
      <w:r w:rsidRPr="002A7011">
        <w:rPr>
          <w:i/>
          <w:color w:val="000000"/>
        </w:rPr>
        <w:t>Theory &amp; Psychology</w:t>
      </w:r>
      <w:r w:rsidRPr="002A7011">
        <w:rPr>
          <w:color w:val="000000"/>
        </w:rPr>
        <w:t xml:space="preserve">, 27(4), pp.501-523. </w:t>
      </w:r>
      <w:hyperlink r:id="rId68">
        <w:r w:rsidRPr="002A7011">
          <w:rPr>
            <w:color w:val="000000"/>
          </w:rPr>
          <w:br/>
        </w:r>
      </w:hyperlink>
      <w:hyperlink r:id="rId69">
        <w:r w:rsidRPr="002A7011">
          <w:rPr>
            <w:color w:val="000000"/>
            <w:u w:val="single"/>
          </w:rPr>
          <w:t> https://doi.org/10.1177/0959354317713158 </w:t>
        </w:r>
      </w:hyperlink>
    </w:p>
    <w:p w:rsidR="00222F36" w:rsidRPr="002A7011" w:rsidRDefault="00222F36">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rPr>
      </w:pPr>
      <w:r w:rsidRPr="002A7011">
        <w:rPr>
          <w:color w:val="000000"/>
        </w:rPr>
        <w:t xml:space="preserve">Turton, J., Kabiri, A., Tuckett, D., Smith, R.E., and Vinson, D.P. (2021). ‘Differentiating approach and avoidance from traditional notions of sentiment in economic contexts,’ Working paper. </w:t>
      </w:r>
      <w:r w:rsidRPr="002A7011">
        <w:rPr>
          <w:i/>
          <w:color w:val="000000"/>
        </w:rPr>
        <w:t>arXiv:2112.02607 [cs.CL].</w:t>
      </w:r>
    </w:p>
    <w:p w:rsidR="00222F36" w:rsidRPr="002A7011" w:rsidRDefault="00222F36">
      <w:pPr>
        <w:pBdr>
          <w:top w:val="nil"/>
          <w:left w:val="nil"/>
          <w:bottom w:val="nil"/>
          <w:right w:val="nil"/>
          <w:between w:val="nil"/>
        </w:pBdr>
        <w:rPr>
          <w:color w:val="000000"/>
        </w:rPr>
      </w:pPr>
    </w:p>
    <w:p w:rsidR="00222F36" w:rsidRPr="002A7011" w:rsidRDefault="000B682F">
      <w:pPr>
        <w:pBdr>
          <w:top w:val="nil"/>
          <w:left w:val="nil"/>
          <w:bottom w:val="nil"/>
          <w:right w:val="nil"/>
          <w:between w:val="nil"/>
        </w:pBdr>
        <w:rPr>
          <w:color w:val="000000"/>
        </w:rPr>
      </w:pPr>
      <w:r w:rsidRPr="002A7011">
        <w:rPr>
          <w:color w:val="000000"/>
        </w:rPr>
        <w:t xml:space="preserve">White, E.H (1990). ‘The Stock Market Boom and Crash of 1929 Revisited’ </w:t>
      </w:r>
      <w:r w:rsidRPr="002A7011">
        <w:rPr>
          <w:i/>
          <w:color w:val="000000"/>
        </w:rPr>
        <w:t>Journal of Economic Perspectives</w:t>
      </w:r>
      <w:r w:rsidRPr="002A7011">
        <w:rPr>
          <w:color w:val="000000"/>
        </w:rPr>
        <w:t xml:space="preserve">, 4(2), pp. 67-83.  </w:t>
      </w:r>
      <w:hyperlink r:id="rId70">
        <w:r w:rsidRPr="002A7011">
          <w:rPr>
            <w:color w:val="000000"/>
            <w:u w:val="single"/>
          </w:rPr>
          <w:t> https://doi.org/10.1257/jep.4.2.67 </w:t>
        </w:r>
      </w:hyperlink>
    </w:p>
    <w:p w:rsidR="00222F36" w:rsidRPr="002A7011" w:rsidRDefault="00222F36">
      <w:pPr>
        <w:spacing w:line="480" w:lineRule="auto"/>
      </w:pPr>
    </w:p>
    <w:p w:rsidR="00222F36" w:rsidRPr="002A7011" w:rsidRDefault="00222F36">
      <w:pPr>
        <w:spacing w:after="160"/>
        <w:jc w:val="left"/>
      </w:pPr>
    </w:p>
    <w:p w:rsidR="00222F36" w:rsidRPr="002A7011" w:rsidRDefault="00222F36"/>
    <w:p w:rsidR="00222F36" w:rsidRPr="002A7011" w:rsidRDefault="000B682F">
      <w:pPr>
        <w:rPr>
          <w:b/>
          <w:color w:val="000000"/>
        </w:rPr>
      </w:pPr>
      <w:r w:rsidRPr="002A7011">
        <w:br w:type="page"/>
      </w:r>
    </w:p>
    <w:p w:rsidR="00222F36" w:rsidRPr="002A7011" w:rsidRDefault="000B682F">
      <w:pPr>
        <w:pBdr>
          <w:top w:val="nil"/>
          <w:left w:val="nil"/>
          <w:bottom w:val="nil"/>
          <w:right w:val="nil"/>
          <w:between w:val="nil"/>
        </w:pBdr>
        <w:spacing w:after="200"/>
        <w:rPr>
          <w:b/>
          <w:color w:val="000000"/>
        </w:rPr>
      </w:pPr>
      <w:r w:rsidRPr="002A7011">
        <w:rPr>
          <w:b/>
          <w:color w:val="000000"/>
        </w:rPr>
        <w:lastRenderedPageBreak/>
        <w:t>Appendix (Note: Not for dissemination until publication)</w:t>
      </w:r>
    </w:p>
    <w:p w:rsidR="00222F36" w:rsidRPr="002A7011" w:rsidRDefault="000B682F">
      <w:pPr>
        <w:pBdr>
          <w:top w:val="nil"/>
          <w:left w:val="nil"/>
          <w:bottom w:val="nil"/>
          <w:right w:val="nil"/>
          <w:between w:val="nil"/>
        </w:pBdr>
        <w:spacing w:after="200"/>
        <w:jc w:val="center"/>
        <w:rPr>
          <w:b/>
          <w:color w:val="000000"/>
        </w:rPr>
      </w:pPr>
      <w:r w:rsidRPr="002A7011">
        <w:rPr>
          <w:b/>
          <w:color w:val="000000"/>
        </w:rPr>
        <w:t>Table 2: Approach Words</w:t>
      </w:r>
    </w:p>
    <w:tbl>
      <w:tblPr>
        <w:tblStyle w:val="a1"/>
        <w:tblW w:w="5000" w:type="pct"/>
        <w:jc w:val="center"/>
        <w:tblLook w:val="0400" w:firstRow="0" w:lastRow="0" w:firstColumn="0" w:lastColumn="0" w:noHBand="0" w:noVBand="1"/>
      </w:tblPr>
      <w:tblGrid>
        <w:gridCol w:w="1828"/>
        <w:gridCol w:w="2051"/>
        <w:gridCol w:w="1780"/>
        <w:gridCol w:w="1921"/>
      </w:tblGrid>
      <w:tr w:rsidR="00222F36" w:rsidRPr="002A7011" w:rsidTr="00D17069">
        <w:trPr>
          <w:trHeight w:val="31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bottom"/>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bottom"/>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bottom"/>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bottom"/>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bottom"/>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bottom"/>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bottom"/>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bottom"/>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bottom"/>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bottom"/>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bottom"/>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bottom"/>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bottom"/>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bottom"/>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bottom"/>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r>
      <w:tr w:rsidR="00222F36" w:rsidRPr="002A7011" w:rsidTr="00D17069">
        <w:trPr>
          <w:trHeight w:val="31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r>
      <w:tr w:rsidR="00222F36" w:rsidRPr="002A7011" w:rsidTr="00D17069">
        <w:trPr>
          <w:trHeight w:val="31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r>
      <w:tr w:rsidR="00222F36" w:rsidRPr="002A7011" w:rsidTr="00D17069">
        <w:trPr>
          <w:trHeight w:val="31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r>
      <w:tr w:rsidR="00222F36" w:rsidRPr="002A7011" w:rsidTr="00D17069">
        <w:trPr>
          <w:trHeight w:val="29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r>
      <w:tr w:rsidR="00222F36" w:rsidRPr="002A7011" w:rsidTr="00D17069">
        <w:trPr>
          <w:trHeight w:val="31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r>
      <w:tr w:rsidR="00222F36" w:rsidRPr="002A7011" w:rsidTr="00D17069">
        <w:trPr>
          <w:trHeight w:val="31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r>
      <w:tr w:rsidR="00222F36" w:rsidRPr="002A7011" w:rsidTr="00D17069">
        <w:trPr>
          <w:trHeight w:val="310"/>
          <w:jc w:val="center"/>
        </w:trPr>
        <w:tc>
          <w:tcPr>
            <w:tcW w:w="1206"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353"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174"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c>
          <w:tcPr>
            <w:tcW w:w="1267" w:type="pct"/>
            <w:tcBorders>
              <w:top w:val="nil"/>
              <w:left w:val="nil"/>
              <w:bottom w:val="nil"/>
              <w:right w:val="nil"/>
            </w:tcBorders>
            <w:shd w:val="clear" w:color="auto" w:fill="auto"/>
            <w:vAlign w:val="center"/>
          </w:tcPr>
          <w:p w:rsidR="00222F36" w:rsidRPr="002A7011" w:rsidRDefault="00222F36">
            <w:pPr>
              <w:spacing w:line="240" w:lineRule="auto"/>
              <w:jc w:val="left"/>
              <w:rPr>
                <w:color w:val="000000"/>
              </w:rPr>
            </w:pPr>
          </w:p>
        </w:tc>
      </w:tr>
    </w:tbl>
    <w:p w:rsidR="00222F36" w:rsidRPr="00C830C6" w:rsidRDefault="000B682F" w:rsidP="00C830C6">
      <w:pPr>
        <w:ind w:left="1440" w:firstLine="720"/>
        <w:rPr>
          <w:b/>
          <w:color w:val="000000"/>
        </w:rPr>
      </w:pPr>
      <w:bookmarkStart w:id="14" w:name="_GoBack"/>
      <w:bookmarkEnd w:id="14"/>
      <w:r w:rsidRPr="002A7011">
        <w:rPr>
          <w:b/>
          <w:color w:val="000000"/>
        </w:rPr>
        <w:t>Table 3: Avoidance Words</w:t>
      </w:r>
    </w:p>
    <w:p w:rsidR="00222F36" w:rsidRPr="002A7011" w:rsidRDefault="000B682F">
      <w:pPr>
        <w:rPr>
          <w:b/>
          <w:sz w:val="28"/>
          <w:szCs w:val="28"/>
        </w:rPr>
      </w:pPr>
      <w:r w:rsidRPr="002A7011">
        <w:rPr>
          <w:b/>
          <w:i/>
          <w:sz w:val="28"/>
          <w:szCs w:val="28"/>
        </w:rPr>
        <w:lastRenderedPageBreak/>
        <w:t>Online Appendix for</w:t>
      </w:r>
      <w:r w:rsidRPr="002A7011">
        <w:rPr>
          <w:i/>
          <w:sz w:val="28"/>
          <w:szCs w:val="28"/>
        </w:rPr>
        <w:t xml:space="preserve"> “</w:t>
      </w:r>
      <w:r w:rsidRPr="002A7011">
        <w:rPr>
          <w:b/>
          <w:sz w:val="28"/>
          <w:szCs w:val="28"/>
        </w:rPr>
        <w:t>The Role of Sentiment in the Economy: 1920 to 1934”</w:t>
      </w:r>
    </w:p>
    <w:p w:rsidR="00222F36" w:rsidRPr="002A7011" w:rsidRDefault="00222F36"/>
    <w:p w:rsidR="00222F36" w:rsidRPr="002A7011" w:rsidRDefault="000B682F">
      <w:pPr>
        <w:rPr>
          <w:b/>
        </w:rPr>
      </w:pPr>
      <w:r w:rsidRPr="002A7011">
        <w:rPr>
          <w:b/>
        </w:rPr>
        <w:t>A.1 Construction of Sentiment Index</w:t>
      </w:r>
    </w:p>
    <w:p w:rsidR="00222F36" w:rsidRPr="002A7011" w:rsidRDefault="00222F36">
      <w:pPr>
        <w:rPr>
          <w:b/>
        </w:rPr>
      </w:pPr>
    </w:p>
    <w:p w:rsidR="00222F36" w:rsidRPr="002A7011" w:rsidRDefault="000B682F">
      <w:r w:rsidRPr="002A7011">
        <w:t xml:space="preserve">The WSJ dataset consists of digitized items. These items are made up of articles, notices, and other reports. Figure 1A reports the total number of items for each month and is broken down into a number of major categories. Before constructing the sentiment index, display advertisements, classified advertisements, legal notices, and theatre reviews are removed. These items are identified by searching for items containing these phrases in their title. Note that items in the dataset are not tagged so all searching and filtering is done via text search. </w:t>
      </w:r>
    </w:p>
    <w:p w:rsidR="00222F36" w:rsidRPr="002A7011" w:rsidRDefault="00222F36">
      <w:pPr>
        <w:rPr>
          <w:b/>
        </w:rPr>
      </w:pPr>
    </w:p>
    <w:p w:rsidR="00222F36" w:rsidRPr="002A7011" w:rsidRDefault="00222F36">
      <w:pPr>
        <w:rPr>
          <w:b/>
        </w:rPr>
      </w:pPr>
    </w:p>
    <w:p w:rsidR="00222F36" w:rsidRPr="002A7011" w:rsidRDefault="000B682F">
      <w:pPr>
        <w:keepNext/>
        <w:jc w:val="center"/>
        <w:rPr>
          <w:b/>
        </w:rPr>
      </w:pPr>
      <w:r w:rsidRPr="002A7011">
        <w:rPr>
          <w:b/>
        </w:rPr>
        <w:t>Figure A.1: Breakdown of Items in WSJ Dataset</w:t>
      </w:r>
    </w:p>
    <w:p w:rsidR="00222F36" w:rsidRPr="002A7011" w:rsidRDefault="000B682F">
      <w:r w:rsidRPr="002A7011">
        <w:rPr>
          <w:noProof/>
          <w:lang w:eastAsia="en-GB"/>
        </w:rPr>
        <w:drawing>
          <wp:inline distT="0" distB="0" distL="0" distR="0">
            <wp:extent cx="4565650" cy="2736850"/>
            <wp:effectExtent l="0" t="0" r="0" b="0"/>
            <wp:docPr id="60"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71"/>
                    <a:srcRect/>
                    <a:stretch>
                      <a:fillRect/>
                    </a:stretch>
                  </pic:blipFill>
                  <pic:spPr>
                    <a:xfrm>
                      <a:off x="0" y="0"/>
                      <a:ext cx="4565650" cy="2736850"/>
                    </a:xfrm>
                    <a:prstGeom prst="rect">
                      <a:avLst/>
                    </a:prstGeom>
                    <a:ln/>
                  </pic:spPr>
                </pic:pic>
              </a:graphicData>
            </a:graphic>
          </wp:inline>
        </w:drawing>
      </w:r>
    </w:p>
    <w:p w:rsidR="00222F36" w:rsidRPr="002A7011" w:rsidRDefault="00222F36"/>
    <w:p w:rsidR="00222F36" w:rsidRPr="002A7011" w:rsidRDefault="000B682F">
      <w:r w:rsidRPr="002A7011">
        <w:tab/>
        <w:t xml:space="preserve">These notices (display ads, classified ads, legal notices, and theatre reviews) are removed leaving the numbers of items reported in Figure A.2. The items net of notices is broken down into items that contain at least one sentiment word and those that do not contain any sentiment words. The number of items </w:t>
      </w:r>
      <w:r w:rsidRPr="002A7011">
        <w:lastRenderedPageBreak/>
        <w:t xml:space="preserve">that contain at least one sentiment word ranges from a minimum of 620 in February of 1923 to a maximum of 1907 in April 1929. Figure A.3 reports the proportion of total items (net of notices) that have at least one sentiment word in them. The proportion of items that contain sentiment ranges from a minimum of 15.5% in February of 1932 to a maximum of 29.6% in October of 1921. From 1926 onwards the proportion of items containing sentiment is stable and has a mean of 20% and standard deviation of 1.6%. </w:t>
      </w:r>
    </w:p>
    <w:p w:rsidR="00222F36" w:rsidRPr="002A7011" w:rsidRDefault="000B682F">
      <w:pPr>
        <w:keepNext/>
        <w:jc w:val="center"/>
        <w:rPr>
          <w:b/>
        </w:rPr>
      </w:pPr>
      <w:r w:rsidRPr="002A7011">
        <w:rPr>
          <w:b/>
        </w:rPr>
        <w:t>Figure A.2: Items in WSJ net of Notices</w:t>
      </w:r>
    </w:p>
    <w:p w:rsidR="00222F36" w:rsidRPr="002A7011" w:rsidRDefault="000B682F">
      <w:pPr>
        <w:jc w:val="center"/>
        <w:rPr>
          <w:b/>
        </w:rPr>
      </w:pPr>
      <w:r w:rsidRPr="002A7011">
        <w:rPr>
          <w:b/>
          <w:noProof/>
          <w:lang w:eastAsia="en-GB"/>
        </w:rPr>
        <w:drawing>
          <wp:inline distT="0" distB="0" distL="0" distR="0">
            <wp:extent cx="4565650" cy="2736850"/>
            <wp:effectExtent l="0" t="0" r="0" b="0"/>
            <wp:docPr id="61"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72"/>
                    <a:srcRect/>
                    <a:stretch>
                      <a:fillRect/>
                    </a:stretch>
                  </pic:blipFill>
                  <pic:spPr>
                    <a:xfrm>
                      <a:off x="0" y="0"/>
                      <a:ext cx="4565650" cy="2736850"/>
                    </a:xfrm>
                    <a:prstGeom prst="rect">
                      <a:avLst/>
                    </a:prstGeom>
                    <a:ln/>
                  </pic:spPr>
                </pic:pic>
              </a:graphicData>
            </a:graphic>
          </wp:inline>
        </w:drawing>
      </w:r>
    </w:p>
    <w:p w:rsidR="00222F36" w:rsidRPr="002A7011" w:rsidRDefault="000B682F">
      <w:pPr>
        <w:keepNext/>
        <w:jc w:val="center"/>
        <w:rPr>
          <w:b/>
        </w:rPr>
      </w:pPr>
      <w:r w:rsidRPr="002A7011">
        <w:rPr>
          <w:b/>
        </w:rPr>
        <w:t>Figure A.3: Items with Sentiment as a percentage of total items (net of notices)</w:t>
      </w:r>
    </w:p>
    <w:p w:rsidR="00222F36" w:rsidRPr="002A7011" w:rsidRDefault="000B682F">
      <w:pPr>
        <w:jc w:val="center"/>
        <w:rPr>
          <w:b/>
        </w:rPr>
      </w:pPr>
      <w:r w:rsidRPr="002A7011">
        <w:rPr>
          <w:b/>
          <w:noProof/>
          <w:lang w:eastAsia="en-GB"/>
        </w:rPr>
        <w:drawing>
          <wp:inline distT="0" distB="0" distL="0" distR="0">
            <wp:extent cx="4565650" cy="2736850"/>
            <wp:effectExtent l="0" t="0" r="0" b="0"/>
            <wp:docPr id="62"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73"/>
                    <a:srcRect/>
                    <a:stretch>
                      <a:fillRect/>
                    </a:stretch>
                  </pic:blipFill>
                  <pic:spPr>
                    <a:xfrm>
                      <a:off x="0" y="0"/>
                      <a:ext cx="4565650" cy="2736850"/>
                    </a:xfrm>
                    <a:prstGeom prst="rect">
                      <a:avLst/>
                    </a:prstGeom>
                    <a:ln/>
                  </pic:spPr>
                </pic:pic>
              </a:graphicData>
            </a:graphic>
          </wp:inline>
        </w:drawing>
      </w:r>
    </w:p>
    <w:p w:rsidR="00222F36" w:rsidRPr="002A7011" w:rsidRDefault="00222F36"/>
    <w:p w:rsidR="00222F36" w:rsidRPr="002A7011" w:rsidRDefault="000B682F">
      <w:r w:rsidRPr="002A7011">
        <w:lastRenderedPageBreak/>
        <w:tab/>
        <w:t xml:space="preserve">The sentiment index that we calculate is a count of sentiment words normalized by the total number of words for each month. Figure A.4 reports the proportion of words that are in items that contain sentiment. This proportion ranges from a minimum of 33.8% in February of 1932 to 61% in December of 1921. The items that make up the dataset (net of those notices we exclude) contain articles and other information based items. Examples of these are dividend notices, exchange rate reports, and bond price reports. These items do contain some words but are mostly numbers. The items that include at least one sentiment word account for a higher proportion of the total words in the dataset than items. This is because the items that typically contain sentiment words are articles and therefore are generally longer than the items that do not contain sentiment words.  </w:t>
      </w:r>
    </w:p>
    <w:p w:rsidR="00222F36" w:rsidRPr="002A7011" w:rsidRDefault="000B682F">
      <w:pPr>
        <w:ind w:firstLine="720"/>
      </w:pPr>
      <w:r w:rsidRPr="002A7011">
        <w:t xml:space="preserve">The items that do not contain are not excluded from the construction of the index as they contain words and some comment on the state of the markets.  </w:t>
      </w:r>
    </w:p>
    <w:p w:rsidR="00222F36" w:rsidRPr="002A7011" w:rsidRDefault="00222F36"/>
    <w:p w:rsidR="00222F36" w:rsidRPr="002A7011" w:rsidRDefault="000B682F">
      <w:pPr>
        <w:keepNext/>
        <w:jc w:val="center"/>
        <w:rPr>
          <w:b/>
        </w:rPr>
      </w:pPr>
      <w:r w:rsidRPr="002A7011">
        <w:rPr>
          <w:b/>
        </w:rPr>
        <w:t>Figure A.4: Proportion of words in items with sentiment (net of notices)</w:t>
      </w:r>
    </w:p>
    <w:p w:rsidR="00222F36" w:rsidRPr="002A7011" w:rsidRDefault="000B682F">
      <w:pPr>
        <w:jc w:val="center"/>
        <w:rPr>
          <w:b/>
        </w:rPr>
      </w:pPr>
      <w:r w:rsidRPr="002A7011">
        <w:rPr>
          <w:b/>
          <w:noProof/>
          <w:lang w:eastAsia="en-GB"/>
        </w:rPr>
        <w:drawing>
          <wp:inline distT="0" distB="0" distL="0" distR="0">
            <wp:extent cx="4565650" cy="2736850"/>
            <wp:effectExtent l="0" t="0" r="0" b="0"/>
            <wp:docPr id="63"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74"/>
                    <a:srcRect/>
                    <a:stretch>
                      <a:fillRect/>
                    </a:stretch>
                  </pic:blipFill>
                  <pic:spPr>
                    <a:xfrm>
                      <a:off x="0" y="0"/>
                      <a:ext cx="4565650" cy="2736850"/>
                    </a:xfrm>
                    <a:prstGeom prst="rect">
                      <a:avLst/>
                    </a:prstGeom>
                    <a:ln/>
                  </pic:spPr>
                </pic:pic>
              </a:graphicData>
            </a:graphic>
          </wp:inline>
        </w:drawing>
      </w:r>
    </w:p>
    <w:p w:rsidR="00222F36" w:rsidRPr="002A7011" w:rsidRDefault="00222F36"/>
    <w:p w:rsidR="00D17069" w:rsidRPr="002A7011" w:rsidRDefault="00D17069">
      <w:pPr>
        <w:rPr>
          <w:b/>
        </w:rPr>
      </w:pPr>
    </w:p>
    <w:p w:rsidR="00D17069" w:rsidRPr="002A7011" w:rsidRDefault="00D17069">
      <w:pPr>
        <w:rPr>
          <w:b/>
        </w:rPr>
      </w:pPr>
    </w:p>
    <w:p w:rsidR="00D17069" w:rsidRPr="002A7011" w:rsidRDefault="00D17069">
      <w:pPr>
        <w:rPr>
          <w:b/>
        </w:rPr>
      </w:pPr>
    </w:p>
    <w:p w:rsidR="00D17069" w:rsidRPr="002A7011" w:rsidRDefault="00D17069">
      <w:pPr>
        <w:rPr>
          <w:b/>
        </w:rPr>
      </w:pPr>
    </w:p>
    <w:p w:rsidR="00D17069" w:rsidRPr="002A7011" w:rsidRDefault="00D17069">
      <w:pPr>
        <w:rPr>
          <w:b/>
        </w:rPr>
      </w:pPr>
    </w:p>
    <w:p w:rsidR="00222F36" w:rsidRPr="002A7011" w:rsidRDefault="000B682F">
      <w:pPr>
        <w:rPr>
          <w:b/>
        </w:rPr>
      </w:pPr>
      <w:r w:rsidRPr="002A7011">
        <w:rPr>
          <w:b/>
        </w:rPr>
        <w:lastRenderedPageBreak/>
        <w:t>A.2 Econometric Results</w:t>
      </w:r>
    </w:p>
    <w:p w:rsidR="00222F36" w:rsidRPr="002A7011" w:rsidRDefault="00222F36"/>
    <w:p w:rsidR="00222F36" w:rsidRPr="002A7011" w:rsidRDefault="000B682F">
      <w:r w:rsidRPr="002A7011">
        <w:t xml:space="preserve">In this section of the appendix, the full econometric results are reported for the vector error correction model used in our paper. The data used are depicted in Figure A1. </w:t>
      </w:r>
    </w:p>
    <w:p w:rsidR="00222F36" w:rsidRPr="002A7011" w:rsidRDefault="000B682F">
      <w:pPr>
        <w:keepNext/>
        <w:jc w:val="center"/>
      </w:pPr>
      <w:r w:rsidRPr="002A7011">
        <w:rPr>
          <w:b/>
        </w:rPr>
        <w:t>Figure A5: Data Used in Analysis</w:t>
      </w:r>
    </w:p>
    <w:p w:rsidR="00222F36" w:rsidRPr="002A7011" w:rsidRDefault="000B682F">
      <w:pPr>
        <w:jc w:val="center"/>
      </w:pPr>
      <w:r w:rsidRPr="002A7011">
        <w:rPr>
          <w:noProof/>
          <w:lang w:eastAsia="en-GB"/>
        </w:rPr>
        <w:drawing>
          <wp:inline distT="0" distB="0" distL="0" distR="0">
            <wp:extent cx="5487877" cy="6415393"/>
            <wp:effectExtent l="0" t="0" r="0" b="0"/>
            <wp:docPr id="64"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75"/>
                    <a:srcRect/>
                    <a:stretch>
                      <a:fillRect/>
                    </a:stretch>
                  </pic:blipFill>
                  <pic:spPr>
                    <a:xfrm>
                      <a:off x="0" y="0"/>
                      <a:ext cx="5487877" cy="6415393"/>
                    </a:xfrm>
                    <a:prstGeom prst="rect">
                      <a:avLst/>
                    </a:prstGeom>
                    <a:ln/>
                  </pic:spPr>
                </pic:pic>
              </a:graphicData>
            </a:graphic>
          </wp:inline>
        </w:drawing>
      </w:r>
    </w:p>
    <w:p w:rsidR="00222F36" w:rsidRPr="002A7011" w:rsidRDefault="000B682F">
      <w:r w:rsidRPr="002A7011">
        <w:t xml:space="preserve">All time series depicted in Figure A1 contain a unit root. Information criteria suggest that the Johansen cointegration test should be performed with one lag. </w:t>
      </w:r>
      <w:r w:rsidRPr="002A7011">
        <w:lastRenderedPageBreak/>
        <w:t xml:space="preserve">The results of the cointegration tests are found in Table A1. The results suggest there are four cointegrating relationships.  </w:t>
      </w:r>
    </w:p>
    <w:p w:rsidR="00222F36" w:rsidRPr="002A7011" w:rsidRDefault="000B682F">
      <w:pPr>
        <w:keepNext/>
        <w:jc w:val="center"/>
        <w:rPr>
          <w:b/>
        </w:rPr>
      </w:pPr>
      <w:r w:rsidRPr="002A7011">
        <w:rPr>
          <w:b/>
        </w:rPr>
        <w:t>Table A1: Cointegration Test Results (Rank Test)</w:t>
      </w:r>
    </w:p>
    <w:tbl>
      <w:tblPr>
        <w:tblStyle w:val="a3"/>
        <w:tblW w:w="7580" w:type="dxa"/>
        <w:tblLayout w:type="fixed"/>
        <w:tblLook w:val="0000" w:firstRow="0" w:lastRow="0" w:firstColumn="0" w:lastColumn="0" w:noHBand="0" w:noVBand="0"/>
      </w:tblPr>
      <w:tblGrid>
        <w:gridCol w:w="1486"/>
        <w:gridCol w:w="1524"/>
        <w:gridCol w:w="1524"/>
        <w:gridCol w:w="1524"/>
        <w:gridCol w:w="1522"/>
      </w:tblGrid>
      <w:tr w:rsidR="00222F36" w:rsidRPr="002A7011">
        <w:trPr>
          <w:trHeight w:val="204"/>
        </w:trPr>
        <w:tc>
          <w:tcPr>
            <w:tcW w:w="1486" w:type="dxa"/>
            <w:tcBorders>
              <w:top w:val="nil"/>
              <w:left w:val="nil"/>
              <w:bottom w:val="single" w:sz="4" w:space="0" w:color="000000"/>
              <w:right w:val="nil"/>
            </w:tcBorders>
            <w:vAlign w:val="center"/>
          </w:tcPr>
          <w:p w:rsidR="00222F36" w:rsidRPr="002A7011" w:rsidRDefault="000B682F">
            <w:pPr>
              <w:spacing w:line="240" w:lineRule="auto"/>
              <w:jc w:val="center"/>
              <w:rPr>
                <w:b/>
              </w:rPr>
            </w:pPr>
            <w:r w:rsidRPr="002A7011">
              <w:rPr>
                <w:b/>
              </w:rPr>
              <w:t>Hypothesized No. of Cointegrating relationships in H</w:t>
            </w:r>
            <w:r w:rsidRPr="002A7011">
              <w:rPr>
                <w:b/>
                <w:vertAlign w:val="subscript"/>
              </w:rPr>
              <w:t>0</w:t>
            </w:r>
          </w:p>
        </w:tc>
        <w:tc>
          <w:tcPr>
            <w:tcW w:w="1524" w:type="dxa"/>
            <w:tcBorders>
              <w:top w:val="nil"/>
              <w:left w:val="nil"/>
              <w:bottom w:val="single" w:sz="4" w:space="0" w:color="000000"/>
              <w:right w:val="nil"/>
            </w:tcBorders>
            <w:vAlign w:val="center"/>
          </w:tcPr>
          <w:p w:rsidR="00222F36" w:rsidRPr="002A7011" w:rsidRDefault="000B682F">
            <w:pPr>
              <w:jc w:val="center"/>
              <w:rPr>
                <w:b/>
              </w:rPr>
            </w:pPr>
            <w:r w:rsidRPr="002A7011">
              <w:rPr>
                <w:b/>
              </w:rPr>
              <w:t>Eigenvalue</w:t>
            </w:r>
          </w:p>
        </w:tc>
        <w:tc>
          <w:tcPr>
            <w:tcW w:w="1524" w:type="dxa"/>
            <w:tcBorders>
              <w:top w:val="nil"/>
              <w:left w:val="nil"/>
              <w:bottom w:val="single" w:sz="4" w:space="0" w:color="000000"/>
              <w:right w:val="nil"/>
            </w:tcBorders>
            <w:vAlign w:val="center"/>
          </w:tcPr>
          <w:p w:rsidR="00222F36" w:rsidRPr="002A7011" w:rsidRDefault="000B682F">
            <w:pPr>
              <w:jc w:val="center"/>
              <w:rPr>
                <w:b/>
              </w:rPr>
            </w:pPr>
            <w:r w:rsidRPr="002A7011">
              <w:rPr>
                <w:b/>
              </w:rPr>
              <w:t>Test Statistic</w:t>
            </w:r>
          </w:p>
        </w:tc>
        <w:tc>
          <w:tcPr>
            <w:tcW w:w="1524" w:type="dxa"/>
            <w:tcBorders>
              <w:top w:val="nil"/>
              <w:left w:val="nil"/>
              <w:bottom w:val="single" w:sz="4" w:space="0" w:color="000000"/>
              <w:right w:val="nil"/>
            </w:tcBorders>
            <w:vAlign w:val="center"/>
          </w:tcPr>
          <w:p w:rsidR="00222F36" w:rsidRPr="002A7011" w:rsidRDefault="000B682F">
            <w:pPr>
              <w:jc w:val="center"/>
              <w:rPr>
                <w:b/>
              </w:rPr>
            </w:pPr>
            <w:r w:rsidRPr="002A7011">
              <w:rPr>
                <w:b/>
              </w:rPr>
              <w:t>5% Critical Value</w:t>
            </w:r>
          </w:p>
        </w:tc>
        <w:tc>
          <w:tcPr>
            <w:tcW w:w="1522" w:type="dxa"/>
            <w:tcBorders>
              <w:top w:val="nil"/>
              <w:left w:val="nil"/>
              <w:bottom w:val="single" w:sz="4" w:space="0" w:color="000000"/>
              <w:right w:val="nil"/>
            </w:tcBorders>
            <w:vAlign w:val="center"/>
          </w:tcPr>
          <w:p w:rsidR="00222F36" w:rsidRPr="002A7011" w:rsidRDefault="000B682F">
            <w:pPr>
              <w:jc w:val="center"/>
              <w:rPr>
                <w:b/>
              </w:rPr>
            </w:pPr>
            <w:r w:rsidRPr="002A7011">
              <w:rPr>
                <w:b/>
              </w:rPr>
              <w:t>p-value</w:t>
            </w:r>
          </w:p>
        </w:tc>
      </w:tr>
      <w:tr w:rsidR="00222F36" w:rsidRPr="002A7011">
        <w:trPr>
          <w:trHeight w:val="204"/>
        </w:trPr>
        <w:tc>
          <w:tcPr>
            <w:tcW w:w="1486" w:type="dxa"/>
            <w:tcBorders>
              <w:top w:val="single" w:sz="4" w:space="0" w:color="000000"/>
              <w:left w:val="nil"/>
              <w:bottom w:val="nil"/>
              <w:right w:val="nil"/>
            </w:tcBorders>
            <w:vAlign w:val="bottom"/>
          </w:tcPr>
          <w:p w:rsidR="00222F36" w:rsidRPr="002A7011" w:rsidRDefault="000B682F">
            <w:pPr>
              <w:spacing w:line="240" w:lineRule="auto"/>
              <w:jc w:val="center"/>
              <w:rPr>
                <w:color w:val="000000"/>
              </w:rPr>
            </w:pPr>
            <w:r w:rsidRPr="002A7011">
              <w:rPr>
                <w:color w:val="000000"/>
              </w:rPr>
              <w:t>None *</w:t>
            </w:r>
          </w:p>
        </w:tc>
        <w:tc>
          <w:tcPr>
            <w:tcW w:w="1524" w:type="dxa"/>
            <w:tcBorders>
              <w:top w:val="single" w:sz="4" w:space="0" w:color="000000"/>
              <w:left w:val="nil"/>
              <w:bottom w:val="nil"/>
              <w:right w:val="nil"/>
            </w:tcBorders>
            <w:vAlign w:val="bottom"/>
          </w:tcPr>
          <w:p w:rsidR="00222F36" w:rsidRPr="002A7011" w:rsidRDefault="000B682F">
            <w:pPr>
              <w:spacing w:line="240" w:lineRule="auto"/>
              <w:jc w:val="center"/>
              <w:rPr>
                <w:color w:val="000000"/>
              </w:rPr>
            </w:pPr>
            <w:r w:rsidRPr="002A7011">
              <w:rPr>
                <w:color w:val="000000"/>
              </w:rPr>
              <w:t> 0.456385</w:t>
            </w:r>
          </w:p>
        </w:tc>
        <w:tc>
          <w:tcPr>
            <w:tcW w:w="1524" w:type="dxa"/>
            <w:tcBorders>
              <w:top w:val="single" w:sz="4" w:space="0" w:color="000000"/>
              <w:left w:val="nil"/>
              <w:bottom w:val="nil"/>
              <w:right w:val="nil"/>
            </w:tcBorders>
            <w:vAlign w:val="bottom"/>
          </w:tcPr>
          <w:p w:rsidR="00222F36" w:rsidRPr="002A7011" w:rsidRDefault="000B682F">
            <w:pPr>
              <w:spacing w:line="240" w:lineRule="auto"/>
              <w:jc w:val="center"/>
              <w:rPr>
                <w:color w:val="000000"/>
              </w:rPr>
            </w:pPr>
            <w:r w:rsidRPr="002A7011">
              <w:rPr>
                <w:color w:val="000000"/>
              </w:rPr>
              <w:t> 101.1793</w:t>
            </w:r>
          </w:p>
        </w:tc>
        <w:tc>
          <w:tcPr>
            <w:tcW w:w="1524" w:type="dxa"/>
            <w:tcBorders>
              <w:top w:val="single" w:sz="4" w:space="0" w:color="000000"/>
              <w:left w:val="nil"/>
              <w:bottom w:val="nil"/>
              <w:right w:val="nil"/>
            </w:tcBorders>
            <w:vAlign w:val="bottom"/>
          </w:tcPr>
          <w:p w:rsidR="00222F36" w:rsidRPr="002A7011" w:rsidRDefault="000B682F">
            <w:pPr>
              <w:spacing w:line="240" w:lineRule="auto"/>
              <w:jc w:val="center"/>
              <w:rPr>
                <w:color w:val="000000"/>
              </w:rPr>
            </w:pPr>
            <w:r w:rsidRPr="002A7011">
              <w:rPr>
                <w:color w:val="000000"/>
              </w:rPr>
              <w:t> 64.50472</w:t>
            </w:r>
          </w:p>
        </w:tc>
        <w:tc>
          <w:tcPr>
            <w:tcW w:w="1522" w:type="dxa"/>
            <w:tcBorders>
              <w:top w:val="single" w:sz="4" w:space="0" w:color="000000"/>
              <w:left w:val="nil"/>
              <w:bottom w:val="nil"/>
              <w:right w:val="nil"/>
            </w:tcBorders>
            <w:vAlign w:val="bottom"/>
          </w:tcPr>
          <w:p w:rsidR="00222F36" w:rsidRPr="002A7011" w:rsidRDefault="000B682F">
            <w:pPr>
              <w:spacing w:line="240" w:lineRule="auto"/>
              <w:jc w:val="center"/>
              <w:rPr>
                <w:color w:val="000000"/>
              </w:rPr>
            </w:pPr>
            <w:r w:rsidRPr="002A7011">
              <w:rPr>
                <w:color w:val="000000"/>
              </w:rPr>
              <w:t> 0.0000</w:t>
            </w:r>
          </w:p>
        </w:tc>
      </w:tr>
      <w:tr w:rsidR="00222F36" w:rsidRPr="002A7011">
        <w:trPr>
          <w:trHeight w:val="204"/>
        </w:trPr>
        <w:tc>
          <w:tcPr>
            <w:tcW w:w="1486"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At most 1 *</w:t>
            </w:r>
          </w:p>
        </w:tc>
        <w:tc>
          <w:tcPr>
            <w:tcW w:w="1524"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0.355122</w:t>
            </w:r>
          </w:p>
        </w:tc>
        <w:tc>
          <w:tcPr>
            <w:tcW w:w="1524"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72.82333</w:t>
            </w:r>
          </w:p>
        </w:tc>
        <w:tc>
          <w:tcPr>
            <w:tcW w:w="1524"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58.43354</w:t>
            </w:r>
          </w:p>
        </w:tc>
        <w:tc>
          <w:tcPr>
            <w:tcW w:w="1522"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0.0011</w:t>
            </w:r>
          </w:p>
        </w:tc>
      </w:tr>
      <w:tr w:rsidR="00222F36" w:rsidRPr="002A7011">
        <w:trPr>
          <w:trHeight w:val="204"/>
        </w:trPr>
        <w:tc>
          <w:tcPr>
            <w:tcW w:w="1486"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At most 2 *</w:t>
            </w:r>
          </w:p>
        </w:tc>
        <w:tc>
          <w:tcPr>
            <w:tcW w:w="1524"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0.287085</w:t>
            </w:r>
          </w:p>
        </w:tc>
        <w:tc>
          <w:tcPr>
            <w:tcW w:w="1524"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56.17316</w:t>
            </w:r>
          </w:p>
        </w:tc>
        <w:tc>
          <w:tcPr>
            <w:tcW w:w="1524"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52.36261</w:t>
            </w:r>
          </w:p>
        </w:tc>
        <w:tc>
          <w:tcPr>
            <w:tcW w:w="1522"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0.0194</w:t>
            </w:r>
          </w:p>
        </w:tc>
      </w:tr>
      <w:tr w:rsidR="00222F36" w:rsidRPr="002A7011">
        <w:trPr>
          <w:trHeight w:val="204"/>
        </w:trPr>
        <w:tc>
          <w:tcPr>
            <w:tcW w:w="1486"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At most 3 *</w:t>
            </w:r>
          </w:p>
        </w:tc>
        <w:tc>
          <w:tcPr>
            <w:tcW w:w="1524"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0.244979</w:t>
            </w:r>
          </w:p>
        </w:tc>
        <w:tc>
          <w:tcPr>
            <w:tcW w:w="1524"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46.64761</w:t>
            </w:r>
          </w:p>
        </w:tc>
        <w:tc>
          <w:tcPr>
            <w:tcW w:w="1524"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46.23142</w:t>
            </w:r>
          </w:p>
        </w:tc>
        <w:tc>
          <w:tcPr>
            <w:tcW w:w="1522"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0.0451</w:t>
            </w:r>
          </w:p>
        </w:tc>
      </w:tr>
      <w:tr w:rsidR="00222F36" w:rsidRPr="002A7011">
        <w:trPr>
          <w:trHeight w:val="204"/>
        </w:trPr>
        <w:tc>
          <w:tcPr>
            <w:tcW w:w="1486"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At most 4</w:t>
            </w:r>
          </w:p>
        </w:tc>
        <w:tc>
          <w:tcPr>
            <w:tcW w:w="1524"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0.194511</w:t>
            </w:r>
          </w:p>
        </w:tc>
        <w:tc>
          <w:tcPr>
            <w:tcW w:w="1524"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35.90674</w:t>
            </w:r>
          </w:p>
        </w:tc>
        <w:tc>
          <w:tcPr>
            <w:tcW w:w="1524"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40.07757</w:t>
            </w:r>
          </w:p>
        </w:tc>
        <w:tc>
          <w:tcPr>
            <w:tcW w:w="1522"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0.1370</w:t>
            </w:r>
          </w:p>
        </w:tc>
      </w:tr>
      <w:tr w:rsidR="00222F36" w:rsidRPr="002A7011">
        <w:trPr>
          <w:trHeight w:val="204"/>
        </w:trPr>
        <w:tc>
          <w:tcPr>
            <w:tcW w:w="1486"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At most 5</w:t>
            </w:r>
          </w:p>
        </w:tc>
        <w:tc>
          <w:tcPr>
            <w:tcW w:w="1524"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0.142279</w:t>
            </w:r>
          </w:p>
        </w:tc>
        <w:tc>
          <w:tcPr>
            <w:tcW w:w="1524"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25.47705</w:t>
            </w:r>
          </w:p>
        </w:tc>
        <w:tc>
          <w:tcPr>
            <w:tcW w:w="1524"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33.87687</w:t>
            </w:r>
          </w:p>
        </w:tc>
        <w:tc>
          <w:tcPr>
            <w:tcW w:w="1522"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0.3535</w:t>
            </w:r>
          </w:p>
        </w:tc>
      </w:tr>
      <w:tr w:rsidR="00222F36" w:rsidRPr="002A7011">
        <w:trPr>
          <w:trHeight w:val="204"/>
        </w:trPr>
        <w:tc>
          <w:tcPr>
            <w:tcW w:w="1486"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At most 6</w:t>
            </w:r>
          </w:p>
        </w:tc>
        <w:tc>
          <w:tcPr>
            <w:tcW w:w="1524"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0.111175</w:t>
            </w:r>
          </w:p>
        </w:tc>
        <w:tc>
          <w:tcPr>
            <w:tcW w:w="1524"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19.56392</w:t>
            </w:r>
          </w:p>
        </w:tc>
        <w:tc>
          <w:tcPr>
            <w:tcW w:w="1524"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27.58434</w:t>
            </w:r>
          </w:p>
        </w:tc>
        <w:tc>
          <w:tcPr>
            <w:tcW w:w="1522"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0.3721</w:t>
            </w:r>
          </w:p>
        </w:tc>
      </w:tr>
      <w:tr w:rsidR="00222F36" w:rsidRPr="002A7011">
        <w:trPr>
          <w:trHeight w:val="204"/>
        </w:trPr>
        <w:tc>
          <w:tcPr>
            <w:tcW w:w="1486"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At most 7</w:t>
            </w:r>
          </w:p>
        </w:tc>
        <w:tc>
          <w:tcPr>
            <w:tcW w:w="1524"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0.044873</w:t>
            </w:r>
          </w:p>
        </w:tc>
        <w:tc>
          <w:tcPr>
            <w:tcW w:w="1524"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7.621159</w:t>
            </w:r>
          </w:p>
        </w:tc>
        <w:tc>
          <w:tcPr>
            <w:tcW w:w="1524"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21.13162</w:t>
            </w:r>
          </w:p>
        </w:tc>
        <w:tc>
          <w:tcPr>
            <w:tcW w:w="1522" w:type="dxa"/>
            <w:tcBorders>
              <w:top w:val="nil"/>
              <w:left w:val="nil"/>
              <w:bottom w:val="nil"/>
              <w:right w:val="nil"/>
            </w:tcBorders>
            <w:vAlign w:val="bottom"/>
          </w:tcPr>
          <w:p w:rsidR="00222F36" w:rsidRPr="002A7011" w:rsidRDefault="000B682F">
            <w:pPr>
              <w:spacing w:line="240" w:lineRule="auto"/>
              <w:jc w:val="center"/>
              <w:rPr>
                <w:color w:val="000000"/>
              </w:rPr>
            </w:pPr>
            <w:r w:rsidRPr="002A7011">
              <w:rPr>
                <w:color w:val="000000"/>
              </w:rPr>
              <w:t> 0.9254</w:t>
            </w:r>
          </w:p>
        </w:tc>
      </w:tr>
      <w:tr w:rsidR="00222F36" w:rsidRPr="002A7011">
        <w:trPr>
          <w:trHeight w:val="204"/>
        </w:trPr>
        <w:tc>
          <w:tcPr>
            <w:tcW w:w="1486" w:type="dxa"/>
            <w:tcBorders>
              <w:top w:val="nil"/>
              <w:left w:val="nil"/>
              <w:right w:val="nil"/>
            </w:tcBorders>
            <w:vAlign w:val="bottom"/>
          </w:tcPr>
          <w:p w:rsidR="00222F36" w:rsidRPr="002A7011" w:rsidRDefault="000B682F">
            <w:pPr>
              <w:spacing w:line="240" w:lineRule="auto"/>
              <w:jc w:val="center"/>
              <w:rPr>
                <w:color w:val="000000"/>
              </w:rPr>
            </w:pPr>
            <w:r w:rsidRPr="002A7011">
              <w:rPr>
                <w:color w:val="000000"/>
              </w:rPr>
              <w:t>At most 8</w:t>
            </w:r>
          </w:p>
        </w:tc>
        <w:tc>
          <w:tcPr>
            <w:tcW w:w="1524" w:type="dxa"/>
            <w:tcBorders>
              <w:top w:val="nil"/>
              <w:left w:val="nil"/>
              <w:right w:val="nil"/>
            </w:tcBorders>
            <w:vAlign w:val="bottom"/>
          </w:tcPr>
          <w:p w:rsidR="00222F36" w:rsidRPr="002A7011" w:rsidRDefault="000B682F">
            <w:pPr>
              <w:spacing w:line="240" w:lineRule="auto"/>
              <w:jc w:val="center"/>
              <w:rPr>
                <w:color w:val="000000"/>
              </w:rPr>
            </w:pPr>
            <w:r w:rsidRPr="002A7011">
              <w:rPr>
                <w:color w:val="000000"/>
              </w:rPr>
              <w:t> 0.032139</w:t>
            </w:r>
          </w:p>
        </w:tc>
        <w:tc>
          <w:tcPr>
            <w:tcW w:w="1524" w:type="dxa"/>
            <w:tcBorders>
              <w:top w:val="nil"/>
              <w:left w:val="nil"/>
              <w:right w:val="nil"/>
            </w:tcBorders>
            <w:vAlign w:val="bottom"/>
          </w:tcPr>
          <w:p w:rsidR="00222F36" w:rsidRPr="002A7011" w:rsidRDefault="000B682F">
            <w:pPr>
              <w:spacing w:line="240" w:lineRule="auto"/>
              <w:jc w:val="center"/>
              <w:rPr>
                <w:color w:val="000000"/>
              </w:rPr>
            </w:pPr>
            <w:r w:rsidRPr="002A7011">
              <w:rPr>
                <w:color w:val="000000"/>
              </w:rPr>
              <w:t> 5.422768</w:t>
            </w:r>
          </w:p>
        </w:tc>
        <w:tc>
          <w:tcPr>
            <w:tcW w:w="1524" w:type="dxa"/>
            <w:tcBorders>
              <w:top w:val="nil"/>
              <w:left w:val="nil"/>
              <w:right w:val="nil"/>
            </w:tcBorders>
            <w:vAlign w:val="bottom"/>
          </w:tcPr>
          <w:p w:rsidR="00222F36" w:rsidRPr="002A7011" w:rsidRDefault="000B682F">
            <w:pPr>
              <w:spacing w:line="240" w:lineRule="auto"/>
              <w:jc w:val="center"/>
              <w:rPr>
                <w:color w:val="000000"/>
              </w:rPr>
            </w:pPr>
            <w:r w:rsidRPr="002A7011">
              <w:rPr>
                <w:color w:val="000000"/>
              </w:rPr>
              <w:t> 14.26460</w:t>
            </w:r>
          </w:p>
        </w:tc>
        <w:tc>
          <w:tcPr>
            <w:tcW w:w="1522" w:type="dxa"/>
            <w:tcBorders>
              <w:top w:val="nil"/>
              <w:left w:val="nil"/>
              <w:right w:val="nil"/>
            </w:tcBorders>
            <w:vAlign w:val="bottom"/>
          </w:tcPr>
          <w:p w:rsidR="00222F36" w:rsidRPr="002A7011" w:rsidRDefault="000B682F">
            <w:pPr>
              <w:spacing w:line="240" w:lineRule="auto"/>
              <w:jc w:val="center"/>
              <w:rPr>
                <w:color w:val="000000"/>
              </w:rPr>
            </w:pPr>
            <w:r w:rsidRPr="002A7011">
              <w:rPr>
                <w:color w:val="000000"/>
              </w:rPr>
              <w:t> 0.6878</w:t>
            </w:r>
          </w:p>
        </w:tc>
      </w:tr>
      <w:tr w:rsidR="00222F36" w:rsidRPr="002A7011">
        <w:trPr>
          <w:trHeight w:val="204"/>
        </w:trPr>
        <w:tc>
          <w:tcPr>
            <w:tcW w:w="1486" w:type="dxa"/>
            <w:tcBorders>
              <w:top w:val="nil"/>
              <w:left w:val="nil"/>
              <w:bottom w:val="single" w:sz="4" w:space="0" w:color="000000"/>
              <w:right w:val="nil"/>
            </w:tcBorders>
            <w:vAlign w:val="bottom"/>
          </w:tcPr>
          <w:p w:rsidR="00222F36" w:rsidRPr="002A7011" w:rsidRDefault="000B682F">
            <w:pPr>
              <w:spacing w:line="240" w:lineRule="auto"/>
              <w:jc w:val="center"/>
              <w:rPr>
                <w:color w:val="000000"/>
              </w:rPr>
            </w:pPr>
            <w:r w:rsidRPr="002A7011">
              <w:rPr>
                <w:color w:val="000000"/>
              </w:rPr>
              <w:t>At most 9</w:t>
            </w:r>
          </w:p>
        </w:tc>
        <w:tc>
          <w:tcPr>
            <w:tcW w:w="1524" w:type="dxa"/>
            <w:tcBorders>
              <w:top w:val="nil"/>
              <w:left w:val="nil"/>
              <w:bottom w:val="single" w:sz="4" w:space="0" w:color="000000"/>
              <w:right w:val="nil"/>
            </w:tcBorders>
            <w:vAlign w:val="bottom"/>
          </w:tcPr>
          <w:p w:rsidR="00222F36" w:rsidRPr="002A7011" w:rsidRDefault="000B682F">
            <w:pPr>
              <w:spacing w:line="240" w:lineRule="auto"/>
              <w:jc w:val="center"/>
              <w:rPr>
                <w:color w:val="000000"/>
              </w:rPr>
            </w:pPr>
            <w:r w:rsidRPr="002A7011">
              <w:rPr>
                <w:color w:val="000000"/>
              </w:rPr>
              <w:t> 0.004521</w:t>
            </w:r>
          </w:p>
        </w:tc>
        <w:tc>
          <w:tcPr>
            <w:tcW w:w="1524" w:type="dxa"/>
            <w:tcBorders>
              <w:top w:val="nil"/>
              <w:left w:val="nil"/>
              <w:bottom w:val="single" w:sz="4" w:space="0" w:color="000000"/>
              <w:right w:val="nil"/>
            </w:tcBorders>
            <w:vAlign w:val="bottom"/>
          </w:tcPr>
          <w:p w:rsidR="00222F36" w:rsidRPr="002A7011" w:rsidRDefault="000B682F">
            <w:pPr>
              <w:spacing w:line="240" w:lineRule="auto"/>
              <w:jc w:val="center"/>
              <w:rPr>
                <w:color w:val="000000"/>
              </w:rPr>
            </w:pPr>
            <w:r w:rsidRPr="002A7011">
              <w:rPr>
                <w:color w:val="000000"/>
              </w:rPr>
              <w:t> 0.752194</w:t>
            </w:r>
          </w:p>
        </w:tc>
        <w:tc>
          <w:tcPr>
            <w:tcW w:w="1524" w:type="dxa"/>
            <w:tcBorders>
              <w:top w:val="nil"/>
              <w:left w:val="nil"/>
              <w:bottom w:val="single" w:sz="4" w:space="0" w:color="000000"/>
              <w:right w:val="nil"/>
            </w:tcBorders>
            <w:vAlign w:val="bottom"/>
          </w:tcPr>
          <w:p w:rsidR="00222F36" w:rsidRPr="002A7011" w:rsidRDefault="000B682F">
            <w:pPr>
              <w:spacing w:line="240" w:lineRule="auto"/>
              <w:jc w:val="center"/>
              <w:rPr>
                <w:color w:val="000000"/>
              </w:rPr>
            </w:pPr>
            <w:r w:rsidRPr="002A7011">
              <w:rPr>
                <w:color w:val="000000"/>
              </w:rPr>
              <w:t> 3.841465</w:t>
            </w:r>
          </w:p>
        </w:tc>
        <w:tc>
          <w:tcPr>
            <w:tcW w:w="1522" w:type="dxa"/>
            <w:tcBorders>
              <w:top w:val="nil"/>
              <w:left w:val="nil"/>
              <w:bottom w:val="single" w:sz="4" w:space="0" w:color="000000"/>
              <w:right w:val="nil"/>
            </w:tcBorders>
            <w:vAlign w:val="bottom"/>
          </w:tcPr>
          <w:p w:rsidR="00222F36" w:rsidRPr="002A7011" w:rsidRDefault="000B682F">
            <w:pPr>
              <w:spacing w:line="240" w:lineRule="auto"/>
              <w:jc w:val="center"/>
              <w:rPr>
                <w:color w:val="000000"/>
              </w:rPr>
            </w:pPr>
            <w:r w:rsidRPr="002A7011">
              <w:rPr>
                <w:color w:val="000000"/>
              </w:rPr>
              <w:t> 0.3858</w:t>
            </w:r>
          </w:p>
        </w:tc>
      </w:tr>
    </w:tbl>
    <w:p w:rsidR="00222F36" w:rsidRPr="002A7011" w:rsidRDefault="00222F36">
      <w:pPr>
        <w:jc w:val="center"/>
        <w:rPr>
          <w:rFonts w:ascii="Arial" w:eastAsia="Arial" w:hAnsi="Arial" w:cs="Arial"/>
          <w:sz w:val="18"/>
          <w:szCs w:val="18"/>
        </w:rPr>
      </w:pPr>
    </w:p>
    <w:p w:rsidR="00222F36" w:rsidRPr="002A7011" w:rsidRDefault="000B682F">
      <w:r w:rsidRPr="002A7011">
        <w:t xml:space="preserve">Table A2 reports the information criteria results used to determine the lag length used in the estimated model. Both information criteria suggest that the vector error correction model should be estimated with one lag. </w:t>
      </w:r>
    </w:p>
    <w:p w:rsidR="00222F36" w:rsidRPr="002A7011" w:rsidRDefault="00222F36"/>
    <w:p w:rsidR="00222F36" w:rsidRPr="002A7011" w:rsidRDefault="000B682F">
      <w:pPr>
        <w:jc w:val="center"/>
        <w:rPr>
          <w:b/>
        </w:rPr>
      </w:pPr>
      <w:r w:rsidRPr="002A7011">
        <w:rPr>
          <w:b/>
        </w:rPr>
        <w:t>Table A2: Lag Length Determination for VEC model with 4 CI Relationships</w:t>
      </w:r>
    </w:p>
    <w:tbl>
      <w:tblPr>
        <w:tblStyle w:val="a4"/>
        <w:tblW w:w="7580" w:type="dxa"/>
        <w:jc w:val="center"/>
        <w:tblLayout w:type="fixed"/>
        <w:tblLook w:val="0400" w:firstRow="0" w:lastRow="0" w:firstColumn="0" w:lastColumn="0" w:noHBand="0" w:noVBand="1"/>
      </w:tblPr>
      <w:tblGrid>
        <w:gridCol w:w="2498"/>
        <w:gridCol w:w="2541"/>
        <w:gridCol w:w="2541"/>
      </w:tblGrid>
      <w:tr w:rsidR="00222F36" w:rsidRPr="002A7011">
        <w:trPr>
          <w:jc w:val="center"/>
        </w:trPr>
        <w:tc>
          <w:tcPr>
            <w:tcW w:w="2498" w:type="dxa"/>
            <w:tcBorders>
              <w:bottom w:val="single" w:sz="4" w:space="0" w:color="000000"/>
            </w:tcBorders>
            <w:vAlign w:val="center"/>
          </w:tcPr>
          <w:p w:rsidR="00222F36" w:rsidRPr="002A7011" w:rsidRDefault="000B682F">
            <w:pPr>
              <w:jc w:val="center"/>
              <w:rPr>
                <w:b/>
              </w:rPr>
            </w:pPr>
            <w:r w:rsidRPr="002A7011">
              <w:rPr>
                <w:b/>
              </w:rPr>
              <w:t>Lags</w:t>
            </w:r>
          </w:p>
        </w:tc>
        <w:tc>
          <w:tcPr>
            <w:tcW w:w="2541" w:type="dxa"/>
            <w:tcBorders>
              <w:bottom w:val="single" w:sz="4" w:space="0" w:color="000000"/>
            </w:tcBorders>
            <w:vAlign w:val="center"/>
          </w:tcPr>
          <w:p w:rsidR="00222F36" w:rsidRPr="002A7011" w:rsidRDefault="000B682F">
            <w:pPr>
              <w:jc w:val="center"/>
              <w:rPr>
                <w:b/>
              </w:rPr>
            </w:pPr>
            <w:r w:rsidRPr="002A7011">
              <w:rPr>
                <w:b/>
              </w:rPr>
              <w:t>BIC</w:t>
            </w:r>
          </w:p>
        </w:tc>
        <w:tc>
          <w:tcPr>
            <w:tcW w:w="2541" w:type="dxa"/>
            <w:tcBorders>
              <w:bottom w:val="single" w:sz="4" w:space="0" w:color="000000"/>
            </w:tcBorders>
            <w:vAlign w:val="center"/>
          </w:tcPr>
          <w:p w:rsidR="00222F36" w:rsidRPr="002A7011" w:rsidRDefault="000B682F">
            <w:pPr>
              <w:jc w:val="center"/>
              <w:rPr>
                <w:b/>
              </w:rPr>
            </w:pPr>
            <w:r w:rsidRPr="002A7011">
              <w:rPr>
                <w:b/>
              </w:rPr>
              <w:t>AIC</w:t>
            </w:r>
          </w:p>
        </w:tc>
      </w:tr>
      <w:tr w:rsidR="00222F36" w:rsidRPr="002A7011">
        <w:trPr>
          <w:jc w:val="center"/>
        </w:trPr>
        <w:tc>
          <w:tcPr>
            <w:tcW w:w="2498" w:type="dxa"/>
            <w:tcBorders>
              <w:top w:val="single" w:sz="4" w:space="0" w:color="000000"/>
            </w:tcBorders>
            <w:vAlign w:val="center"/>
          </w:tcPr>
          <w:p w:rsidR="00222F36" w:rsidRPr="002A7011" w:rsidRDefault="000B682F">
            <w:pPr>
              <w:jc w:val="center"/>
            </w:pPr>
            <w:r w:rsidRPr="002A7011">
              <w:t>1</w:t>
            </w:r>
          </w:p>
        </w:tc>
        <w:tc>
          <w:tcPr>
            <w:tcW w:w="2541" w:type="dxa"/>
            <w:tcBorders>
              <w:top w:val="single" w:sz="4" w:space="0" w:color="000000"/>
            </w:tcBorders>
            <w:vAlign w:val="center"/>
          </w:tcPr>
          <w:p w:rsidR="00222F36" w:rsidRPr="002A7011" w:rsidRDefault="000B682F">
            <w:pPr>
              <w:jc w:val="center"/>
              <w:rPr>
                <w:b/>
              </w:rPr>
            </w:pPr>
            <w:r w:rsidRPr="002A7011">
              <w:t>-26.03*</w:t>
            </w:r>
          </w:p>
        </w:tc>
        <w:tc>
          <w:tcPr>
            <w:tcW w:w="2541" w:type="dxa"/>
            <w:tcBorders>
              <w:top w:val="single" w:sz="4" w:space="0" w:color="000000"/>
            </w:tcBorders>
            <w:vAlign w:val="center"/>
          </w:tcPr>
          <w:p w:rsidR="00222F36" w:rsidRPr="002A7011" w:rsidRDefault="000B682F">
            <w:pPr>
              <w:jc w:val="center"/>
              <w:rPr>
                <w:b/>
              </w:rPr>
            </w:pPr>
            <w:r w:rsidRPr="002A7011">
              <w:t>-30.01*</w:t>
            </w:r>
          </w:p>
        </w:tc>
      </w:tr>
      <w:tr w:rsidR="00222F36" w:rsidRPr="002A7011">
        <w:trPr>
          <w:jc w:val="center"/>
        </w:trPr>
        <w:tc>
          <w:tcPr>
            <w:tcW w:w="2498" w:type="dxa"/>
            <w:vAlign w:val="center"/>
          </w:tcPr>
          <w:p w:rsidR="00222F36" w:rsidRPr="002A7011" w:rsidRDefault="000B682F">
            <w:pPr>
              <w:jc w:val="center"/>
            </w:pPr>
            <w:r w:rsidRPr="002A7011">
              <w:t>2</w:t>
            </w:r>
          </w:p>
        </w:tc>
        <w:tc>
          <w:tcPr>
            <w:tcW w:w="2541" w:type="dxa"/>
            <w:vAlign w:val="bottom"/>
          </w:tcPr>
          <w:p w:rsidR="00222F36" w:rsidRPr="002A7011" w:rsidRDefault="000B682F">
            <w:pPr>
              <w:jc w:val="center"/>
              <w:rPr>
                <w:b/>
              </w:rPr>
            </w:pPr>
            <w:r w:rsidRPr="002A7011">
              <w:t>-23.70</w:t>
            </w:r>
          </w:p>
        </w:tc>
        <w:tc>
          <w:tcPr>
            <w:tcW w:w="2541" w:type="dxa"/>
            <w:vAlign w:val="center"/>
          </w:tcPr>
          <w:p w:rsidR="00222F36" w:rsidRPr="002A7011" w:rsidRDefault="000B682F">
            <w:pPr>
              <w:jc w:val="center"/>
              <w:rPr>
                <w:b/>
              </w:rPr>
            </w:pPr>
            <w:r w:rsidRPr="002A7011">
              <w:t>-29.58</w:t>
            </w:r>
          </w:p>
        </w:tc>
      </w:tr>
      <w:tr w:rsidR="00222F36" w:rsidRPr="002A7011">
        <w:trPr>
          <w:jc w:val="center"/>
        </w:trPr>
        <w:tc>
          <w:tcPr>
            <w:tcW w:w="2498" w:type="dxa"/>
            <w:vAlign w:val="center"/>
          </w:tcPr>
          <w:p w:rsidR="00222F36" w:rsidRPr="002A7011" w:rsidRDefault="000B682F">
            <w:pPr>
              <w:jc w:val="center"/>
            </w:pPr>
            <w:r w:rsidRPr="002A7011">
              <w:t>3</w:t>
            </w:r>
          </w:p>
        </w:tc>
        <w:tc>
          <w:tcPr>
            <w:tcW w:w="2541" w:type="dxa"/>
            <w:vAlign w:val="center"/>
          </w:tcPr>
          <w:p w:rsidR="00222F36" w:rsidRPr="002A7011" w:rsidRDefault="000B682F">
            <w:pPr>
              <w:jc w:val="center"/>
              <w:rPr>
                <w:b/>
              </w:rPr>
            </w:pPr>
            <w:r w:rsidRPr="002A7011">
              <w:t>-21.61</w:t>
            </w:r>
          </w:p>
        </w:tc>
        <w:tc>
          <w:tcPr>
            <w:tcW w:w="2541" w:type="dxa"/>
            <w:vAlign w:val="center"/>
          </w:tcPr>
          <w:p w:rsidR="00222F36" w:rsidRPr="002A7011" w:rsidRDefault="000B682F">
            <w:pPr>
              <w:jc w:val="center"/>
              <w:rPr>
                <w:b/>
              </w:rPr>
            </w:pPr>
            <w:r w:rsidRPr="002A7011">
              <w:t>-29.39</w:t>
            </w:r>
          </w:p>
        </w:tc>
      </w:tr>
      <w:tr w:rsidR="00222F36" w:rsidRPr="002A7011">
        <w:trPr>
          <w:jc w:val="center"/>
        </w:trPr>
        <w:tc>
          <w:tcPr>
            <w:tcW w:w="2498" w:type="dxa"/>
            <w:tcBorders>
              <w:bottom w:val="single" w:sz="4" w:space="0" w:color="000000"/>
            </w:tcBorders>
            <w:vAlign w:val="center"/>
          </w:tcPr>
          <w:p w:rsidR="00222F36" w:rsidRPr="002A7011" w:rsidRDefault="000B682F">
            <w:pPr>
              <w:jc w:val="center"/>
            </w:pPr>
            <w:r w:rsidRPr="002A7011">
              <w:t>4</w:t>
            </w:r>
          </w:p>
        </w:tc>
        <w:tc>
          <w:tcPr>
            <w:tcW w:w="2541" w:type="dxa"/>
            <w:tcBorders>
              <w:bottom w:val="single" w:sz="4" w:space="0" w:color="000000"/>
            </w:tcBorders>
            <w:vAlign w:val="center"/>
          </w:tcPr>
          <w:p w:rsidR="00222F36" w:rsidRPr="002A7011" w:rsidRDefault="000B682F">
            <w:pPr>
              <w:jc w:val="center"/>
              <w:rPr>
                <w:b/>
              </w:rPr>
            </w:pPr>
            <w:r w:rsidRPr="002A7011">
              <w:t>-19.84</w:t>
            </w:r>
          </w:p>
        </w:tc>
        <w:tc>
          <w:tcPr>
            <w:tcW w:w="2541" w:type="dxa"/>
            <w:tcBorders>
              <w:bottom w:val="single" w:sz="4" w:space="0" w:color="000000"/>
            </w:tcBorders>
            <w:vAlign w:val="center"/>
          </w:tcPr>
          <w:p w:rsidR="00222F36" w:rsidRPr="002A7011" w:rsidRDefault="000B682F">
            <w:pPr>
              <w:jc w:val="center"/>
              <w:rPr>
                <w:b/>
              </w:rPr>
            </w:pPr>
            <w:r w:rsidRPr="002A7011">
              <w:t>-29.52</w:t>
            </w:r>
          </w:p>
        </w:tc>
      </w:tr>
    </w:tbl>
    <w:p w:rsidR="00222F36" w:rsidRPr="002A7011" w:rsidRDefault="000B682F">
      <w:r w:rsidRPr="002A7011">
        <w:rPr>
          <w:b/>
        </w:rPr>
        <w:br/>
      </w:r>
    </w:p>
    <w:p w:rsidR="00222F36" w:rsidRPr="002A7011" w:rsidRDefault="000B682F">
      <w:r w:rsidRPr="002A7011">
        <w:tab/>
        <w:t xml:space="preserve">The vector error correction model was estimated with four cointegrating relationships and one lag using likelihood methods. All cointegrating relationships include a constant to allow for trends in the data. The estimation results are as follows. </w:t>
      </w:r>
    </w:p>
    <w:p w:rsidR="00222F36" w:rsidRPr="002A7011" w:rsidRDefault="00222F36"/>
    <w:p w:rsidR="00222F36" w:rsidRPr="002A7011" w:rsidRDefault="00222F36"/>
    <w:p w:rsidR="00222F36" w:rsidRPr="002A7011" w:rsidRDefault="00222F36"/>
    <w:p w:rsidR="00222F36" w:rsidRPr="002A7011" w:rsidRDefault="000B682F">
      <w:pPr>
        <w:jc w:val="center"/>
        <w:rPr>
          <w:b/>
        </w:rPr>
      </w:pPr>
      <w:r w:rsidRPr="002A7011">
        <w:rPr>
          <w:b/>
        </w:rPr>
        <w:t>Table A3: Estimated Cointegrating Relationships</w:t>
      </w:r>
    </w:p>
    <w:tbl>
      <w:tblPr>
        <w:tblStyle w:val="a5"/>
        <w:tblW w:w="7580" w:type="dxa"/>
        <w:jc w:val="center"/>
        <w:tblBorders>
          <w:top w:val="nil"/>
          <w:left w:val="nil"/>
          <w:bottom w:val="nil"/>
          <w:right w:val="nil"/>
          <w:insideH w:val="nil"/>
          <w:insideV w:val="nil"/>
        </w:tblBorders>
        <w:tblLayout w:type="fixed"/>
        <w:tblLook w:val="0400" w:firstRow="0" w:lastRow="0" w:firstColumn="0" w:lastColumn="0" w:noHBand="0" w:noVBand="1"/>
      </w:tblPr>
      <w:tblGrid>
        <w:gridCol w:w="1369"/>
        <w:gridCol w:w="1413"/>
        <w:gridCol w:w="1728"/>
        <w:gridCol w:w="1819"/>
        <w:gridCol w:w="1251"/>
      </w:tblGrid>
      <w:tr w:rsidR="00222F36" w:rsidRPr="002A7011">
        <w:trPr>
          <w:trHeight w:val="144"/>
          <w:jc w:val="center"/>
        </w:trPr>
        <w:tc>
          <w:tcPr>
            <w:tcW w:w="1369" w:type="dxa"/>
            <w:vAlign w:val="center"/>
          </w:tcPr>
          <w:p w:rsidR="00222F36" w:rsidRPr="002A7011" w:rsidRDefault="00222F36">
            <w:pPr>
              <w:jc w:val="center"/>
            </w:pPr>
          </w:p>
        </w:tc>
        <w:tc>
          <w:tcPr>
            <w:tcW w:w="6211" w:type="dxa"/>
            <w:gridSpan w:val="4"/>
            <w:vAlign w:val="center"/>
          </w:tcPr>
          <w:p w:rsidR="00222F36" w:rsidRPr="002A7011" w:rsidRDefault="000B682F">
            <w:pPr>
              <w:jc w:val="center"/>
            </w:pPr>
            <w:r w:rsidRPr="002A7011">
              <w:t>Dependent Variables</w:t>
            </w:r>
          </w:p>
        </w:tc>
      </w:tr>
      <w:tr w:rsidR="00222F36" w:rsidRPr="002A7011">
        <w:trPr>
          <w:trHeight w:val="144"/>
          <w:jc w:val="center"/>
        </w:trPr>
        <w:tc>
          <w:tcPr>
            <w:tcW w:w="1369" w:type="dxa"/>
            <w:tcBorders>
              <w:bottom w:val="single" w:sz="4" w:space="0" w:color="000000"/>
            </w:tcBorders>
            <w:vAlign w:val="center"/>
          </w:tcPr>
          <w:p w:rsidR="00222F36" w:rsidRPr="002A7011" w:rsidRDefault="000B682F">
            <w:pPr>
              <w:jc w:val="center"/>
            </w:pPr>
            <w:r w:rsidRPr="002A7011">
              <w:t xml:space="preserve">Variables Included </w:t>
            </w:r>
          </w:p>
        </w:tc>
        <w:tc>
          <w:tcPr>
            <w:tcW w:w="1413" w:type="dxa"/>
            <w:tcBorders>
              <w:bottom w:val="single" w:sz="4" w:space="0" w:color="000000"/>
            </w:tcBorders>
            <w:vAlign w:val="center"/>
          </w:tcPr>
          <w:p w:rsidR="00222F36" w:rsidRPr="002A7011" w:rsidRDefault="000B682F">
            <w:pPr>
              <w:jc w:val="center"/>
            </w:pPr>
            <w:r w:rsidRPr="002A7011">
              <w:rPr>
                <w:sz w:val="40"/>
                <w:szCs w:val="40"/>
                <w:vertAlign w:val="subscript"/>
              </w:rPr>
              <w:object w:dxaOrig="860" w:dyaOrig="400">
                <v:shape id="_x0000_i1037" type="#_x0000_t75" style="width:43.2pt;height:20.05pt" o:ole="">
                  <v:imagedata r:id="rId76" o:title=""/>
                </v:shape>
                <o:OLEObject Type="Embed" ProgID="Equation.DSMT4" ShapeID="_x0000_i1037" DrawAspect="Content" ObjectID="_1707118136" r:id="rId77"/>
              </w:object>
            </w:r>
          </w:p>
        </w:tc>
        <w:tc>
          <w:tcPr>
            <w:tcW w:w="1728" w:type="dxa"/>
            <w:tcBorders>
              <w:bottom w:val="single" w:sz="4" w:space="0" w:color="000000"/>
            </w:tcBorders>
            <w:vAlign w:val="center"/>
          </w:tcPr>
          <w:p w:rsidR="00222F36" w:rsidRPr="002A7011" w:rsidRDefault="000B682F">
            <w:pPr>
              <w:jc w:val="center"/>
            </w:pPr>
            <w:r w:rsidRPr="002A7011">
              <w:rPr>
                <w:sz w:val="40"/>
                <w:szCs w:val="40"/>
                <w:vertAlign w:val="subscript"/>
              </w:rPr>
              <w:object w:dxaOrig="1300" w:dyaOrig="400">
                <v:shape id="_x0000_i1038" type="#_x0000_t75" style="width:65.1pt;height:20.05pt" o:ole="">
                  <v:imagedata r:id="rId78" o:title=""/>
                </v:shape>
                <o:OLEObject Type="Embed" ProgID="Equation.DSMT4" ShapeID="_x0000_i1038" DrawAspect="Content" ObjectID="_1707118137" r:id="rId79"/>
              </w:object>
            </w:r>
          </w:p>
        </w:tc>
        <w:tc>
          <w:tcPr>
            <w:tcW w:w="1819" w:type="dxa"/>
            <w:tcBorders>
              <w:bottom w:val="single" w:sz="4" w:space="0" w:color="000000"/>
            </w:tcBorders>
            <w:vAlign w:val="center"/>
          </w:tcPr>
          <w:p w:rsidR="00222F36" w:rsidRPr="002A7011" w:rsidRDefault="000B682F">
            <w:pPr>
              <w:jc w:val="center"/>
            </w:pPr>
            <w:r w:rsidRPr="002A7011">
              <w:rPr>
                <w:sz w:val="40"/>
                <w:szCs w:val="40"/>
                <w:vertAlign w:val="subscript"/>
              </w:rPr>
              <w:object w:dxaOrig="1430" w:dyaOrig="400">
                <v:shape id="_x0000_i1039" type="#_x0000_t75" style="width:71.35pt;height:20.05pt" o:ole="">
                  <v:imagedata r:id="rId80" o:title=""/>
                </v:shape>
                <o:OLEObject Type="Embed" ProgID="Equation.DSMT4" ShapeID="_x0000_i1039" DrawAspect="Content" ObjectID="_1707118138" r:id="rId81"/>
              </w:object>
            </w:r>
          </w:p>
        </w:tc>
        <w:tc>
          <w:tcPr>
            <w:tcW w:w="1251" w:type="dxa"/>
            <w:tcBorders>
              <w:bottom w:val="single" w:sz="4" w:space="0" w:color="000000"/>
            </w:tcBorders>
          </w:tcPr>
          <w:p w:rsidR="00222F36" w:rsidRPr="002A7011" w:rsidRDefault="000B682F">
            <w:pPr>
              <w:jc w:val="center"/>
            </w:pPr>
            <w:r w:rsidRPr="002A7011">
              <w:rPr>
                <w:sz w:val="40"/>
                <w:szCs w:val="40"/>
                <w:vertAlign w:val="subscript"/>
              </w:rPr>
              <w:object w:dxaOrig="790" w:dyaOrig="400">
                <v:shape id="_x0000_i1040" type="#_x0000_t75" style="width:39.45pt;height:20.05pt" o:ole="">
                  <v:imagedata r:id="rId82" o:title=""/>
                </v:shape>
                <o:OLEObject Type="Embed" ProgID="Equation.DSMT4" ShapeID="_x0000_i1040" DrawAspect="Content" ObjectID="_1707118139" r:id="rId83"/>
              </w:object>
            </w:r>
          </w:p>
        </w:tc>
      </w:tr>
      <w:tr w:rsidR="00222F36" w:rsidRPr="002A7011">
        <w:trPr>
          <w:trHeight w:val="144"/>
          <w:jc w:val="center"/>
        </w:trPr>
        <w:tc>
          <w:tcPr>
            <w:tcW w:w="1369" w:type="dxa"/>
            <w:tcBorders>
              <w:top w:val="single" w:sz="4" w:space="0" w:color="000000"/>
            </w:tcBorders>
            <w:vAlign w:val="center"/>
          </w:tcPr>
          <w:p w:rsidR="00222F36" w:rsidRPr="002A7011" w:rsidRDefault="000B682F">
            <w:pPr>
              <w:jc w:val="center"/>
            </w:pPr>
            <w:r w:rsidRPr="002A7011">
              <w:t>Constant</w:t>
            </w:r>
          </w:p>
        </w:tc>
        <w:tc>
          <w:tcPr>
            <w:tcW w:w="1413" w:type="dxa"/>
            <w:tcBorders>
              <w:top w:val="single" w:sz="4" w:space="0" w:color="000000"/>
            </w:tcBorders>
            <w:vAlign w:val="center"/>
          </w:tcPr>
          <w:p w:rsidR="00222F36" w:rsidRPr="002A7011" w:rsidRDefault="000B682F">
            <w:pPr>
              <w:jc w:val="center"/>
            </w:pPr>
            <w:r w:rsidRPr="002A7011">
              <w:t>3.467</w:t>
            </w:r>
          </w:p>
        </w:tc>
        <w:tc>
          <w:tcPr>
            <w:tcW w:w="1728" w:type="dxa"/>
            <w:tcBorders>
              <w:top w:val="single" w:sz="4" w:space="0" w:color="000000"/>
            </w:tcBorders>
            <w:vAlign w:val="center"/>
          </w:tcPr>
          <w:p w:rsidR="00222F36" w:rsidRPr="002A7011" w:rsidRDefault="000B682F">
            <w:pPr>
              <w:jc w:val="center"/>
            </w:pPr>
            <w:r w:rsidRPr="002A7011">
              <w:t>6.224</w:t>
            </w:r>
          </w:p>
        </w:tc>
        <w:tc>
          <w:tcPr>
            <w:tcW w:w="1819" w:type="dxa"/>
            <w:tcBorders>
              <w:top w:val="single" w:sz="4" w:space="0" w:color="000000"/>
            </w:tcBorders>
            <w:vAlign w:val="center"/>
          </w:tcPr>
          <w:p w:rsidR="00222F36" w:rsidRPr="002A7011" w:rsidRDefault="000B682F">
            <w:pPr>
              <w:jc w:val="center"/>
            </w:pPr>
            <w:r w:rsidRPr="002A7011">
              <w:t>3.481</w:t>
            </w:r>
          </w:p>
        </w:tc>
        <w:tc>
          <w:tcPr>
            <w:tcW w:w="1251" w:type="dxa"/>
            <w:tcBorders>
              <w:top w:val="single" w:sz="4" w:space="0" w:color="000000"/>
            </w:tcBorders>
          </w:tcPr>
          <w:p w:rsidR="00222F36" w:rsidRPr="002A7011" w:rsidRDefault="000B682F">
            <w:pPr>
              <w:jc w:val="center"/>
            </w:pPr>
            <w:r w:rsidRPr="002A7011">
              <w:t>2.499</w:t>
            </w:r>
          </w:p>
        </w:tc>
      </w:tr>
      <w:tr w:rsidR="00222F36" w:rsidRPr="002A7011">
        <w:trPr>
          <w:trHeight w:val="144"/>
          <w:jc w:val="center"/>
        </w:trPr>
        <w:tc>
          <w:tcPr>
            <w:tcW w:w="1369" w:type="dxa"/>
            <w:vAlign w:val="center"/>
          </w:tcPr>
          <w:p w:rsidR="00222F36" w:rsidRPr="002A7011" w:rsidRDefault="000B682F">
            <w:pPr>
              <w:jc w:val="center"/>
            </w:pPr>
            <w:r w:rsidRPr="002A7011">
              <w:rPr>
                <w:sz w:val="40"/>
                <w:szCs w:val="40"/>
                <w:vertAlign w:val="subscript"/>
              </w:rPr>
              <w:object w:dxaOrig="410" w:dyaOrig="390">
                <v:shape id="_x0000_i1041" type="#_x0000_t75" style="width:20.65pt;height:19.4pt" o:ole="">
                  <v:imagedata r:id="rId84" o:title=""/>
                </v:shape>
                <o:OLEObject Type="Embed" ProgID="Equation.DSMT4" ShapeID="_x0000_i1041" DrawAspect="Content" ObjectID="_1707118140" r:id="rId85"/>
              </w:object>
            </w:r>
          </w:p>
        </w:tc>
        <w:tc>
          <w:tcPr>
            <w:tcW w:w="1413" w:type="dxa"/>
            <w:vAlign w:val="center"/>
          </w:tcPr>
          <w:p w:rsidR="00222F36" w:rsidRPr="002A7011" w:rsidRDefault="000B682F">
            <w:pPr>
              <w:jc w:val="center"/>
            </w:pPr>
            <w:r w:rsidRPr="002A7011">
              <w:t>-0.418</w:t>
            </w:r>
          </w:p>
          <w:p w:rsidR="00222F36" w:rsidRPr="002A7011" w:rsidRDefault="000B682F">
            <w:pPr>
              <w:jc w:val="center"/>
            </w:pPr>
            <w:r w:rsidRPr="002A7011">
              <w:t>(0.051)</w:t>
            </w:r>
          </w:p>
        </w:tc>
        <w:tc>
          <w:tcPr>
            <w:tcW w:w="1728" w:type="dxa"/>
            <w:vAlign w:val="center"/>
          </w:tcPr>
          <w:p w:rsidR="00222F36" w:rsidRPr="002A7011" w:rsidRDefault="000B682F">
            <w:pPr>
              <w:jc w:val="center"/>
            </w:pPr>
            <w:r w:rsidRPr="002A7011">
              <w:t>-0.935</w:t>
            </w:r>
          </w:p>
          <w:p w:rsidR="00222F36" w:rsidRPr="002A7011" w:rsidRDefault="000B682F">
            <w:pPr>
              <w:jc w:val="center"/>
            </w:pPr>
            <w:r w:rsidRPr="002A7011">
              <w:t>(0.393)</w:t>
            </w:r>
          </w:p>
        </w:tc>
        <w:tc>
          <w:tcPr>
            <w:tcW w:w="1819" w:type="dxa"/>
            <w:vAlign w:val="center"/>
          </w:tcPr>
          <w:p w:rsidR="00222F36" w:rsidRPr="002A7011" w:rsidRDefault="000B682F">
            <w:pPr>
              <w:jc w:val="center"/>
            </w:pPr>
            <w:r w:rsidRPr="002A7011">
              <w:t>-0.453</w:t>
            </w:r>
          </w:p>
          <w:p w:rsidR="00222F36" w:rsidRPr="002A7011" w:rsidRDefault="000B682F">
            <w:pPr>
              <w:jc w:val="center"/>
            </w:pPr>
            <w:r w:rsidRPr="002A7011">
              <w:t>(0.291)</w:t>
            </w:r>
          </w:p>
        </w:tc>
        <w:tc>
          <w:tcPr>
            <w:tcW w:w="1251" w:type="dxa"/>
          </w:tcPr>
          <w:p w:rsidR="00222F36" w:rsidRPr="002A7011" w:rsidRDefault="000B682F">
            <w:pPr>
              <w:jc w:val="center"/>
            </w:pPr>
            <w:r w:rsidRPr="002A7011">
              <w:t>0.150</w:t>
            </w:r>
          </w:p>
          <w:p w:rsidR="00222F36" w:rsidRPr="002A7011" w:rsidRDefault="000B682F">
            <w:pPr>
              <w:jc w:val="center"/>
            </w:pPr>
            <w:r w:rsidRPr="002A7011">
              <w:t>(0.027)</w:t>
            </w:r>
          </w:p>
        </w:tc>
      </w:tr>
      <w:tr w:rsidR="00222F36" w:rsidRPr="002A7011">
        <w:trPr>
          <w:trHeight w:val="144"/>
          <w:jc w:val="center"/>
        </w:trPr>
        <w:tc>
          <w:tcPr>
            <w:tcW w:w="1369" w:type="dxa"/>
            <w:vAlign w:val="center"/>
          </w:tcPr>
          <w:p w:rsidR="00222F36" w:rsidRPr="002A7011" w:rsidRDefault="000B682F">
            <w:pPr>
              <w:jc w:val="center"/>
            </w:pPr>
            <w:r w:rsidRPr="002A7011">
              <w:rPr>
                <w:sz w:val="40"/>
                <w:szCs w:val="40"/>
                <w:vertAlign w:val="subscript"/>
              </w:rPr>
              <w:object w:dxaOrig="540" w:dyaOrig="390">
                <v:shape id="_x0000_i1042" type="#_x0000_t75" style="width:26.9pt;height:19.4pt" o:ole="">
                  <v:imagedata r:id="rId86" o:title=""/>
                </v:shape>
                <o:OLEObject Type="Embed" ProgID="Equation.DSMT4" ShapeID="_x0000_i1042" DrawAspect="Content" ObjectID="_1707118141" r:id="rId87"/>
              </w:object>
            </w:r>
          </w:p>
        </w:tc>
        <w:tc>
          <w:tcPr>
            <w:tcW w:w="1413" w:type="dxa"/>
            <w:vAlign w:val="center"/>
          </w:tcPr>
          <w:p w:rsidR="00222F36" w:rsidRPr="002A7011" w:rsidRDefault="000B682F">
            <w:pPr>
              <w:jc w:val="center"/>
            </w:pPr>
            <w:r w:rsidRPr="002A7011">
              <w:t>-0.457</w:t>
            </w:r>
            <w:r w:rsidRPr="002A7011">
              <w:br/>
              <w:t>(0.060)</w:t>
            </w:r>
          </w:p>
        </w:tc>
        <w:tc>
          <w:tcPr>
            <w:tcW w:w="1728" w:type="dxa"/>
            <w:vAlign w:val="center"/>
          </w:tcPr>
          <w:p w:rsidR="00222F36" w:rsidRPr="002A7011" w:rsidRDefault="000B682F">
            <w:pPr>
              <w:jc w:val="center"/>
            </w:pPr>
            <w:r w:rsidRPr="002A7011">
              <w:t>-0.959</w:t>
            </w:r>
          </w:p>
          <w:p w:rsidR="00222F36" w:rsidRPr="002A7011" w:rsidRDefault="000B682F">
            <w:pPr>
              <w:jc w:val="center"/>
            </w:pPr>
            <w:r w:rsidRPr="002A7011">
              <w:t>(0.455)</w:t>
            </w:r>
          </w:p>
        </w:tc>
        <w:tc>
          <w:tcPr>
            <w:tcW w:w="1819" w:type="dxa"/>
            <w:vAlign w:val="center"/>
          </w:tcPr>
          <w:p w:rsidR="00222F36" w:rsidRPr="002A7011" w:rsidRDefault="000B682F">
            <w:pPr>
              <w:jc w:val="center"/>
            </w:pPr>
            <w:r w:rsidRPr="002A7011">
              <w:t>-0.409</w:t>
            </w:r>
          </w:p>
          <w:p w:rsidR="00222F36" w:rsidRPr="002A7011" w:rsidRDefault="000B682F">
            <w:pPr>
              <w:jc w:val="center"/>
            </w:pPr>
            <w:r w:rsidRPr="002A7011">
              <w:t>(0.336)</w:t>
            </w:r>
          </w:p>
        </w:tc>
        <w:tc>
          <w:tcPr>
            <w:tcW w:w="1251" w:type="dxa"/>
          </w:tcPr>
          <w:p w:rsidR="00222F36" w:rsidRPr="002A7011" w:rsidRDefault="000B682F">
            <w:pPr>
              <w:jc w:val="center"/>
            </w:pPr>
            <w:r w:rsidRPr="002A7011">
              <w:t>0.144</w:t>
            </w:r>
          </w:p>
          <w:p w:rsidR="00222F36" w:rsidRPr="002A7011" w:rsidRDefault="000B682F">
            <w:pPr>
              <w:jc w:val="center"/>
            </w:pPr>
            <w:r w:rsidRPr="002A7011">
              <w:t>(0.031)</w:t>
            </w:r>
          </w:p>
        </w:tc>
      </w:tr>
      <w:tr w:rsidR="00222F36" w:rsidRPr="002A7011">
        <w:trPr>
          <w:trHeight w:val="144"/>
          <w:jc w:val="center"/>
        </w:trPr>
        <w:tc>
          <w:tcPr>
            <w:tcW w:w="1369" w:type="dxa"/>
            <w:vAlign w:val="center"/>
          </w:tcPr>
          <w:p w:rsidR="00222F36" w:rsidRPr="002A7011" w:rsidRDefault="000B682F">
            <w:pPr>
              <w:jc w:val="center"/>
            </w:pPr>
            <w:r w:rsidRPr="002A7011">
              <w:rPr>
                <w:sz w:val="40"/>
                <w:szCs w:val="40"/>
                <w:vertAlign w:val="subscript"/>
              </w:rPr>
              <w:object w:dxaOrig="500" w:dyaOrig="390">
                <v:shape id="_x0000_i1043" type="#_x0000_t75" style="width:25.05pt;height:19.4pt" o:ole="">
                  <v:imagedata r:id="rId88" o:title=""/>
                </v:shape>
                <o:OLEObject Type="Embed" ProgID="Equation.DSMT4" ShapeID="_x0000_i1043" DrawAspect="Content" ObjectID="_1707118142" r:id="rId89"/>
              </w:object>
            </w:r>
          </w:p>
        </w:tc>
        <w:tc>
          <w:tcPr>
            <w:tcW w:w="1413" w:type="dxa"/>
            <w:vAlign w:val="center"/>
          </w:tcPr>
          <w:p w:rsidR="00222F36" w:rsidRPr="002A7011" w:rsidRDefault="000B682F">
            <w:pPr>
              <w:jc w:val="center"/>
            </w:pPr>
            <w:r w:rsidRPr="002A7011">
              <w:t>0.057</w:t>
            </w:r>
          </w:p>
          <w:p w:rsidR="00222F36" w:rsidRPr="002A7011" w:rsidRDefault="000B682F">
            <w:pPr>
              <w:jc w:val="center"/>
            </w:pPr>
            <w:r w:rsidRPr="002A7011">
              <w:t>(0.035)</w:t>
            </w:r>
          </w:p>
        </w:tc>
        <w:tc>
          <w:tcPr>
            <w:tcW w:w="1728" w:type="dxa"/>
            <w:vAlign w:val="center"/>
          </w:tcPr>
          <w:p w:rsidR="00222F36" w:rsidRPr="002A7011" w:rsidRDefault="000B682F">
            <w:pPr>
              <w:jc w:val="center"/>
            </w:pPr>
            <w:r w:rsidRPr="002A7011">
              <w:t>-1.631</w:t>
            </w:r>
          </w:p>
          <w:p w:rsidR="00222F36" w:rsidRPr="002A7011" w:rsidRDefault="000B682F">
            <w:pPr>
              <w:jc w:val="center"/>
            </w:pPr>
            <w:r w:rsidRPr="002A7011">
              <w:t>(0.270)</w:t>
            </w:r>
          </w:p>
        </w:tc>
        <w:tc>
          <w:tcPr>
            <w:tcW w:w="1819" w:type="dxa"/>
            <w:vAlign w:val="center"/>
          </w:tcPr>
          <w:p w:rsidR="00222F36" w:rsidRPr="002A7011" w:rsidRDefault="000B682F">
            <w:pPr>
              <w:jc w:val="center"/>
            </w:pPr>
            <w:r w:rsidRPr="002A7011">
              <w:t>-1.201</w:t>
            </w:r>
          </w:p>
          <w:p w:rsidR="00222F36" w:rsidRPr="002A7011" w:rsidRDefault="000B682F">
            <w:pPr>
              <w:jc w:val="center"/>
            </w:pPr>
            <w:r w:rsidRPr="002A7011">
              <w:t>(0.199)</w:t>
            </w:r>
          </w:p>
        </w:tc>
        <w:tc>
          <w:tcPr>
            <w:tcW w:w="1251" w:type="dxa"/>
          </w:tcPr>
          <w:p w:rsidR="00222F36" w:rsidRPr="002A7011" w:rsidRDefault="000B682F">
            <w:pPr>
              <w:jc w:val="center"/>
            </w:pPr>
            <w:r w:rsidRPr="002A7011">
              <w:t>-0.153</w:t>
            </w:r>
          </w:p>
          <w:p w:rsidR="00222F36" w:rsidRPr="002A7011" w:rsidRDefault="000B682F">
            <w:pPr>
              <w:jc w:val="center"/>
            </w:pPr>
            <w:r w:rsidRPr="002A7011">
              <w:t>(0.018)</w:t>
            </w:r>
          </w:p>
        </w:tc>
      </w:tr>
      <w:tr w:rsidR="00222F36" w:rsidRPr="002A7011">
        <w:trPr>
          <w:trHeight w:val="144"/>
          <w:jc w:val="center"/>
        </w:trPr>
        <w:tc>
          <w:tcPr>
            <w:tcW w:w="1369" w:type="dxa"/>
            <w:vAlign w:val="center"/>
          </w:tcPr>
          <w:p w:rsidR="00222F36" w:rsidRPr="002A7011" w:rsidRDefault="000B682F">
            <w:pPr>
              <w:jc w:val="center"/>
            </w:pPr>
            <w:r w:rsidRPr="002A7011">
              <w:rPr>
                <w:sz w:val="40"/>
                <w:szCs w:val="40"/>
                <w:vertAlign w:val="subscript"/>
              </w:rPr>
              <w:object w:dxaOrig="610" w:dyaOrig="350">
                <v:shape id="_x0000_i1044" type="#_x0000_t75" style="width:30.7pt;height:17.55pt" o:ole="">
                  <v:imagedata r:id="rId90" o:title=""/>
                </v:shape>
                <o:OLEObject Type="Embed" ProgID="Equation.DSMT4" ShapeID="_x0000_i1044" DrawAspect="Content" ObjectID="_1707118143" r:id="rId91"/>
              </w:object>
            </w:r>
          </w:p>
        </w:tc>
        <w:tc>
          <w:tcPr>
            <w:tcW w:w="1413" w:type="dxa"/>
            <w:vAlign w:val="center"/>
          </w:tcPr>
          <w:p w:rsidR="00222F36" w:rsidRPr="002A7011" w:rsidRDefault="000B682F">
            <w:pPr>
              <w:jc w:val="center"/>
            </w:pPr>
            <w:r w:rsidRPr="002A7011">
              <w:t>-0.228</w:t>
            </w:r>
          </w:p>
          <w:p w:rsidR="00222F36" w:rsidRPr="002A7011" w:rsidRDefault="000B682F">
            <w:pPr>
              <w:jc w:val="center"/>
            </w:pPr>
            <w:r w:rsidRPr="002A7011">
              <w:t>(0.101)</w:t>
            </w:r>
          </w:p>
        </w:tc>
        <w:tc>
          <w:tcPr>
            <w:tcW w:w="1728" w:type="dxa"/>
            <w:vAlign w:val="center"/>
          </w:tcPr>
          <w:p w:rsidR="00222F36" w:rsidRPr="002A7011" w:rsidRDefault="000B682F">
            <w:pPr>
              <w:jc w:val="center"/>
            </w:pPr>
            <w:r w:rsidRPr="002A7011">
              <w:t>4.935</w:t>
            </w:r>
          </w:p>
          <w:p w:rsidR="00222F36" w:rsidRPr="002A7011" w:rsidRDefault="000B682F">
            <w:pPr>
              <w:jc w:val="center"/>
            </w:pPr>
            <w:r w:rsidRPr="002A7011">
              <w:t>(0.771)</w:t>
            </w:r>
          </w:p>
        </w:tc>
        <w:tc>
          <w:tcPr>
            <w:tcW w:w="1819" w:type="dxa"/>
            <w:vAlign w:val="center"/>
          </w:tcPr>
          <w:p w:rsidR="00222F36" w:rsidRPr="002A7011" w:rsidRDefault="000B682F">
            <w:pPr>
              <w:jc w:val="center"/>
            </w:pPr>
            <w:r w:rsidRPr="002A7011">
              <w:t>3.353</w:t>
            </w:r>
          </w:p>
          <w:p w:rsidR="00222F36" w:rsidRPr="002A7011" w:rsidRDefault="000B682F">
            <w:pPr>
              <w:jc w:val="center"/>
            </w:pPr>
            <w:r w:rsidRPr="002A7011">
              <w:t>(0.570)</w:t>
            </w:r>
          </w:p>
        </w:tc>
        <w:tc>
          <w:tcPr>
            <w:tcW w:w="1251" w:type="dxa"/>
          </w:tcPr>
          <w:p w:rsidR="00222F36" w:rsidRPr="002A7011" w:rsidRDefault="000B682F">
            <w:pPr>
              <w:jc w:val="center"/>
            </w:pPr>
            <w:r w:rsidRPr="002A7011">
              <w:t>0.115</w:t>
            </w:r>
          </w:p>
          <w:p w:rsidR="00222F36" w:rsidRPr="002A7011" w:rsidRDefault="000B682F">
            <w:pPr>
              <w:jc w:val="center"/>
            </w:pPr>
            <w:r w:rsidRPr="002A7011">
              <w:t>(0.053)</w:t>
            </w:r>
          </w:p>
        </w:tc>
      </w:tr>
      <w:tr w:rsidR="00222F36" w:rsidRPr="002A7011">
        <w:trPr>
          <w:trHeight w:val="144"/>
          <w:jc w:val="center"/>
        </w:trPr>
        <w:tc>
          <w:tcPr>
            <w:tcW w:w="1369" w:type="dxa"/>
            <w:vAlign w:val="center"/>
          </w:tcPr>
          <w:p w:rsidR="00222F36" w:rsidRPr="002A7011" w:rsidRDefault="000B682F">
            <w:pPr>
              <w:jc w:val="center"/>
            </w:pPr>
            <w:r w:rsidRPr="002A7011">
              <w:rPr>
                <w:sz w:val="40"/>
                <w:szCs w:val="40"/>
                <w:vertAlign w:val="subscript"/>
              </w:rPr>
              <w:object w:dxaOrig="500" w:dyaOrig="390">
                <v:shape id="_x0000_i1045" type="#_x0000_t75" style="width:25.05pt;height:19.4pt" o:ole="">
                  <v:imagedata r:id="rId92" o:title=""/>
                </v:shape>
                <o:OLEObject Type="Embed" ProgID="Equation.DSMT4" ShapeID="_x0000_i1045" DrawAspect="Content" ObjectID="_1707118144" r:id="rId93"/>
              </w:object>
            </w:r>
          </w:p>
        </w:tc>
        <w:tc>
          <w:tcPr>
            <w:tcW w:w="1413" w:type="dxa"/>
            <w:vAlign w:val="center"/>
          </w:tcPr>
          <w:p w:rsidR="00222F36" w:rsidRPr="002A7011" w:rsidRDefault="000B682F">
            <w:pPr>
              <w:jc w:val="center"/>
            </w:pPr>
            <w:r w:rsidRPr="002A7011">
              <w:t>-1.017</w:t>
            </w:r>
          </w:p>
          <w:p w:rsidR="00222F36" w:rsidRPr="002A7011" w:rsidRDefault="000B682F">
            <w:pPr>
              <w:jc w:val="center"/>
            </w:pPr>
            <w:r w:rsidRPr="002A7011">
              <w:t>(0.242)</w:t>
            </w:r>
          </w:p>
        </w:tc>
        <w:tc>
          <w:tcPr>
            <w:tcW w:w="1728" w:type="dxa"/>
            <w:vAlign w:val="center"/>
          </w:tcPr>
          <w:p w:rsidR="00222F36" w:rsidRPr="002A7011" w:rsidRDefault="000B682F">
            <w:pPr>
              <w:jc w:val="center"/>
            </w:pPr>
            <w:r w:rsidRPr="002A7011">
              <w:t>-2.734</w:t>
            </w:r>
          </w:p>
          <w:p w:rsidR="00222F36" w:rsidRPr="002A7011" w:rsidRDefault="000B682F">
            <w:pPr>
              <w:jc w:val="center"/>
            </w:pPr>
            <w:r w:rsidRPr="002A7011">
              <w:t>(1.846)</w:t>
            </w:r>
          </w:p>
        </w:tc>
        <w:tc>
          <w:tcPr>
            <w:tcW w:w="1819" w:type="dxa"/>
            <w:vAlign w:val="center"/>
          </w:tcPr>
          <w:p w:rsidR="00222F36" w:rsidRPr="002A7011" w:rsidRDefault="000B682F">
            <w:pPr>
              <w:jc w:val="center"/>
            </w:pPr>
            <w:r w:rsidRPr="002A7011">
              <w:t>-0.518</w:t>
            </w:r>
          </w:p>
          <w:p w:rsidR="00222F36" w:rsidRPr="002A7011" w:rsidRDefault="000B682F">
            <w:pPr>
              <w:jc w:val="center"/>
            </w:pPr>
            <w:r w:rsidRPr="002A7011">
              <w:t>(1.364)</w:t>
            </w:r>
          </w:p>
        </w:tc>
        <w:tc>
          <w:tcPr>
            <w:tcW w:w="1251" w:type="dxa"/>
          </w:tcPr>
          <w:p w:rsidR="00222F36" w:rsidRPr="002A7011" w:rsidRDefault="000B682F">
            <w:pPr>
              <w:jc w:val="center"/>
            </w:pPr>
            <w:r w:rsidRPr="002A7011">
              <w:t>0.474</w:t>
            </w:r>
          </w:p>
          <w:p w:rsidR="00222F36" w:rsidRPr="002A7011" w:rsidRDefault="000B682F">
            <w:pPr>
              <w:jc w:val="center"/>
            </w:pPr>
            <w:r w:rsidRPr="002A7011">
              <w:t>(0.127)</w:t>
            </w:r>
          </w:p>
        </w:tc>
      </w:tr>
      <w:tr w:rsidR="00222F36" w:rsidRPr="002A7011">
        <w:trPr>
          <w:trHeight w:val="144"/>
          <w:jc w:val="center"/>
        </w:trPr>
        <w:tc>
          <w:tcPr>
            <w:tcW w:w="1369" w:type="dxa"/>
            <w:tcBorders>
              <w:bottom w:val="single" w:sz="4" w:space="0" w:color="000000"/>
            </w:tcBorders>
            <w:vAlign w:val="center"/>
          </w:tcPr>
          <w:p w:rsidR="00222F36" w:rsidRPr="002A7011" w:rsidRDefault="000B682F">
            <w:pPr>
              <w:jc w:val="center"/>
            </w:pPr>
            <w:r w:rsidRPr="002A7011">
              <w:rPr>
                <w:sz w:val="40"/>
                <w:szCs w:val="40"/>
                <w:vertAlign w:val="subscript"/>
              </w:rPr>
              <w:object w:dxaOrig="490" w:dyaOrig="390">
                <v:shape id="_x0000_i1046" type="#_x0000_t75" style="width:24.4pt;height:19.4pt" o:ole="">
                  <v:imagedata r:id="rId94" o:title=""/>
                </v:shape>
                <o:OLEObject Type="Embed" ProgID="Equation.DSMT4" ShapeID="_x0000_i1046" DrawAspect="Content" ObjectID="_1707118145" r:id="rId95"/>
              </w:object>
            </w:r>
          </w:p>
        </w:tc>
        <w:tc>
          <w:tcPr>
            <w:tcW w:w="1413" w:type="dxa"/>
            <w:tcBorders>
              <w:bottom w:val="single" w:sz="4" w:space="0" w:color="000000"/>
            </w:tcBorders>
            <w:vAlign w:val="center"/>
          </w:tcPr>
          <w:p w:rsidR="00222F36" w:rsidRPr="002A7011" w:rsidRDefault="000B682F">
            <w:pPr>
              <w:jc w:val="center"/>
            </w:pPr>
            <w:r w:rsidRPr="002A7011">
              <w:t>1.778</w:t>
            </w:r>
          </w:p>
          <w:p w:rsidR="00222F36" w:rsidRPr="002A7011" w:rsidRDefault="000B682F">
            <w:pPr>
              <w:jc w:val="center"/>
            </w:pPr>
            <w:r w:rsidRPr="002A7011">
              <w:t>(0.312)</w:t>
            </w:r>
          </w:p>
        </w:tc>
        <w:tc>
          <w:tcPr>
            <w:tcW w:w="1728" w:type="dxa"/>
            <w:tcBorders>
              <w:bottom w:val="single" w:sz="4" w:space="0" w:color="000000"/>
            </w:tcBorders>
            <w:vAlign w:val="center"/>
          </w:tcPr>
          <w:p w:rsidR="00222F36" w:rsidRPr="002A7011" w:rsidRDefault="000B682F">
            <w:pPr>
              <w:jc w:val="center"/>
            </w:pPr>
            <w:r w:rsidRPr="002A7011">
              <w:t>5.277</w:t>
            </w:r>
          </w:p>
          <w:p w:rsidR="00222F36" w:rsidRPr="002A7011" w:rsidRDefault="000B682F">
            <w:pPr>
              <w:jc w:val="center"/>
            </w:pPr>
            <w:r w:rsidRPr="002A7011">
              <w:t>(2.372)</w:t>
            </w:r>
          </w:p>
        </w:tc>
        <w:tc>
          <w:tcPr>
            <w:tcW w:w="1819" w:type="dxa"/>
            <w:tcBorders>
              <w:bottom w:val="single" w:sz="4" w:space="0" w:color="000000"/>
            </w:tcBorders>
            <w:vAlign w:val="center"/>
          </w:tcPr>
          <w:p w:rsidR="00222F36" w:rsidRPr="002A7011" w:rsidRDefault="000B682F">
            <w:pPr>
              <w:jc w:val="center"/>
            </w:pPr>
            <w:r w:rsidRPr="002A7011">
              <w:t>3.086</w:t>
            </w:r>
          </w:p>
          <w:p w:rsidR="00222F36" w:rsidRPr="002A7011" w:rsidRDefault="000B682F">
            <w:pPr>
              <w:jc w:val="center"/>
            </w:pPr>
            <w:r w:rsidRPr="002A7011">
              <w:t>(1.752)</w:t>
            </w:r>
          </w:p>
        </w:tc>
        <w:tc>
          <w:tcPr>
            <w:tcW w:w="1251" w:type="dxa"/>
            <w:tcBorders>
              <w:bottom w:val="single" w:sz="4" w:space="0" w:color="000000"/>
            </w:tcBorders>
          </w:tcPr>
          <w:p w:rsidR="00222F36" w:rsidRPr="002A7011" w:rsidRDefault="000B682F">
            <w:pPr>
              <w:jc w:val="center"/>
            </w:pPr>
            <w:r w:rsidRPr="002A7011">
              <w:t>-0.210</w:t>
            </w:r>
          </w:p>
          <w:p w:rsidR="00222F36" w:rsidRPr="002A7011" w:rsidRDefault="000B682F">
            <w:pPr>
              <w:jc w:val="center"/>
            </w:pPr>
            <w:r w:rsidRPr="002A7011">
              <w:t>(0.163)</w:t>
            </w:r>
          </w:p>
        </w:tc>
      </w:tr>
    </w:tbl>
    <w:p w:rsidR="00222F36" w:rsidRPr="002A7011" w:rsidRDefault="00222F36">
      <w:pPr>
        <w:jc w:val="center"/>
      </w:pPr>
    </w:p>
    <w:p w:rsidR="00222F36" w:rsidRPr="002A7011" w:rsidRDefault="000B682F">
      <w:pPr>
        <w:jc w:val="left"/>
      </w:pPr>
      <w:r w:rsidRPr="002A7011">
        <w:br w:type="page"/>
      </w:r>
    </w:p>
    <w:p w:rsidR="00222F36" w:rsidRPr="002A7011" w:rsidRDefault="000B682F">
      <w:pPr>
        <w:jc w:val="center"/>
        <w:rPr>
          <w:b/>
        </w:rPr>
      </w:pPr>
      <w:r w:rsidRPr="002A7011">
        <w:rPr>
          <w:b/>
        </w:rPr>
        <w:lastRenderedPageBreak/>
        <w:t xml:space="preserve">Table A4: Estimates of short-run parameters of model. </w:t>
      </w:r>
    </w:p>
    <w:p w:rsidR="00222F36" w:rsidRPr="002A7011" w:rsidRDefault="00222F36">
      <w:pPr>
        <w:spacing w:line="240" w:lineRule="auto"/>
        <w:jc w:val="left"/>
        <w:rPr>
          <w:rFonts w:ascii="Arial" w:eastAsia="Arial" w:hAnsi="Arial" w:cs="Arial"/>
          <w:sz w:val="18"/>
          <w:szCs w:val="18"/>
        </w:rPr>
      </w:pPr>
    </w:p>
    <w:tbl>
      <w:tblPr>
        <w:tblStyle w:val="a6"/>
        <w:tblW w:w="7580" w:type="dxa"/>
        <w:tblLayout w:type="fixed"/>
        <w:tblLook w:val="0000" w:firstRow="0" w:lastRow="0" w:firstColumn="0" w:lastColumn="0" w:noHBand="0" w:noVBand="0"/>
      </w:tblPr>
      <w:tblGrid>
        <w:gridCol w:w="840"/>
        <w:gridCol w:w="646"/>
        <w:gridCol w:w="731"/>
        <w:gridCol w:w="691"/>
        <w:gridCol w:w="734"/>
        <w:gridCol w:w="634"/>
        <w:gridCol w:w="660"/>
        <w:gridCol w:w="661"/>
        <w:gridCol w:w="661"/>
        <w:gridCol w:w="661"/>
        <w:gridCol w:w="661"/>
      </w:tblGrid>
      <w:tr w:rsidR="00222F36" w:rsidRPr="002A7011">
        <w:trPr>
          <w:trHeight w:val="320"/>
        </w:trPr>
        <w:tc>
          <w:tcPr>
            <w:tcW w:w="840" w:type="dxa"/>
            <w:tcBorders>
              <w:top w:val="nil"/>
              <w:left w:val="nil"/>
              <w:right w:val="nil"/>
            </w:tcBorders>
          </w:tcPr>
          <w:p w:rsidR="00222F36" w:rsidRPr="002A7011" w:rsidRDefault="00222F36">
            <w:pPr>
              <w:spacing w:line="240" w:lineRule="auto"/>
              <w:jc w:val="center"/>
              <w:rPr>
                <w:color w:val="000000"/>
                <w:sz w:val="20"/>
                <w:szCs w:val="20"/>
              </w:rPr>
            </w:pPr>
          </w:p>
        </w:tc>
        <w:tc>
          <w:tcPr>
            <w:tcW w:w="6740" w:type="dxa"/>
            <w:gridSpan w:val="10"/>
            <w:tcBorders>
              <w:top w:val="nil"/>
              <w:left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Dependent Variables</w:t>
            </w:r>
          </w:p>
        </w:tc>
      </w:tr>
      <w:tr w:rsidR="00222F36" w:rsidRPr="002A7011">
        <w:trPr>
          <w:trHeight w:val="320"/>
        </w:trPr>
        <w:tc>
          <w:tcPr>
            <w:tcW w:w="840" w:type="dxa"/>
            <w:tcBorders>
              <w:top w:val="nil"/>
              <w:left w:val="nil"/>
              <w:bottom w:val="single" w:sz="4" w:space="0" w:color="000000"/>
              <w:right w:val="nil"/>
            </w:tcBorders>
          </w:tcPr>
          <w:p w:rsidR="00222F36" w:rsidRPr="002A7011" w:rsidRDefault="00222F36">
            <w:pPr>
              <w:spacing w:line="240" w:lineRule="auto"/>
              <w:jc w:val="center"/>
              <w:rPr>
                <w:color w:val="000000"/>
                <w:sz w:val="20"/>
                <w:szCs w:val="20"/>
              </w:rPr>
            </w:pPr>
          </w:p>
        </w:tc>
        <w:tc>
          <w:tcPr>
            <w:tcW w:w="646" w:type="dxa"/>
            <w:tcBorders>
              <w:top w:val="nil"/>
              <w:left w:val="nil"/>
              <w:bottom w:val="single" w:sz="4" w:space="0" w:color="000000"/>
              <w:right w:val="nil"/>
            </w:tcBorders>
            <w:vAlign w:val="bottom"/>
          </w:tcPr>
          <w:p w:rsidR="00222F36" w:rsidRPr="002A7011" w:rsidRDefault="000B682F">
            <w:pPr>
              <w:spacing w:line="240" w:lineRule="auto"/>
              <w:jc w:val="center"/>
              <w:rPr>
                <w:color w:val="000000"/>
                <w:sz w:val="20"/>
                <w:szCs w:val="20"/>
              </w:rPr>
            </w:pPr>
            <w:r w:rsidRPr="002A7011">
              <w:rPr>
                <w:color w:val="000000"/>
                <w:sz w:val="33"/>
                <w:szCs w:val="33"/>
                <w:vertAlign w:val="subscript"/>
              </w:rPr>
              <w:object w:dxaOrig="400" w:dyaOrig="300">
                <v:shape id="_x0000_i1047" type="#_x0000_t75" style="width:20.05pt;height:15.05pt" o:ole="">
                  <v:imagedata r:id="rId96" o:title=""/>
                </v:shape>
                <o:OLEObject Type="Embed" ProgID="Equation.DSMT4" ShapeID="_x0000_i1047" DrawAspect="Content" ObjectID="_1707118146" r:id="rId97"/>
              </w:object>
            </w:r>
          </w:p>
        </w:tc>
        <w:tc>
          <w:tcPr>
            <w:tcW w:w="731" w:type="dxa"/>
            <w:tcBorders>
              <w:top w:val="nil"/>
              <w:left w:val="nil"/>
              <w:bottom w:val="single" w:sz="4" w:space="0" w:color="000000"/>
              <w:right w:val="nil"/>
            </w:tcBorders>
            <w:vAlign w:val="bottom"/>
          </w:tcPr>
          <w:p w:rsidR="00222F36" w:rsidRPr="002A7011" w:rsidRDefault="000B682F">
            <w:pPr>
              <w:spacing w:line="240" w:lineRule="auto"/>
              <w:jc w:val="center"/>
              <w:rPr>
                <w:color w:val="000000"/>
                <w:sz w:val="20"/>
                <w:szCs w:val="20"/>
              </w:rPr>
            </w:pPr>
            <w:r w:rsidRPr="002A7011">
              <w:rPr>
                <w:color w:val="000000"/>
                <w:sz w:val="33"/>
                <w:szCs w:val="33"/>
                <w:vertAlign w:val="subscript"/>
              </w:rPr>
              <w:object w:dxaOrig="730" w:dyaOrig="300">
                <v:shape id="_x0000_i1048" type="#_x0000_t75" style="width:36.3pt;height:15.05pt" o:ole="">
                  <v:imagedata r:id="rId98" o:title=""/>
                </v:shape>
                <o:OLEObject Type="Embed" ProgID="Equation.DSMT4" ShapeID="_x0000_i1048" DrawAspect="Content" ObjectID="_1707118147" r:id="rId99"/>
              </w:object>
            </w:r>
          </w:p>
        </w:tc>
        <w:tc>
          <w:tcPr>
            <w:tcW w:w="691" w:type="dxa"/>
            <w:tcBorders>
              <w:top w:val="nil"/>
              <w:left w:val="nil"/>
              <w:bottom w:val="single" w:sz="4" w:space="0" w:color="000000"/>
              <w:right w:val="nil"/>
            </w:tcBorders>
            <w:vAlign w:val="bottom"/>
          </w:tcPr>
          <w:p w:rsidR="00222F36" w:rsidRPr="002A7011" w:rsidRDefault="000B682F">
            <w:pPr>
              <w:spacing w:line="240" w:lineRule="auto"/>
              <w:jc w:val="center"/>
              <w:rPr>
                <w:color w:val="000000"/>
                <w:sz w:val="20"/>
                <w:szCs w:val="20"/>
              </w:rPr>
            </w:pPr>
            <w:r w:rsidRPr="002A7011">
              <w:rPr>
                <w:color w:val="000000"/>
                <w:sz w:val="33"/>
                <w:szCs w:val="33"/>
                <w:vertAlign w:val="subscript"/>
              </w:rPr>
              <w:object w:dxaOrig="690" w:dyaOrig="300">
                <v:shape id="_x0000_i1049" type="#_x0000_t75" style="width:34.45pt;height:15.05pt" o:ole="">
                  <v:imagedata r:id="rId100" o:title=""/>
                </v:shape>
                <o:OLEObject Type="Embed" ProgID="Equation.DSMT4" ShapeID="_x0000_i1049" DrawAspect="Content" ObjectID="_1707118148" r:id="rId101"/>
              </w:object>
            </w:r>
          </w:p>
        </w:tc>
        <w:tc>
          <w:tcPr>
            <w:tcW w:w="734" w:type="dxa"/>
            <w:tcBorders>
              <w:top w:val="nil"/>
              <w:left w:val="nil"/>
              <w:bottom w:val="single" w:sz="4" w:space="0" w:color="000000"/>
              <w:right w:val="nil"/>
            </w:tcBorders>
            <w:vAlign w:val="bottom"/>
          </w:tcPr>
          <w:p w:rsidR="00222F36" w:rsidRPr="002A7011" w:rsidRDefault="000B682F">
            <w:pPr>
              <w:spacing w:line="240" w:lineRule="auto"/>
              <w:jc w:val="center"/>
              <w:rPr>
                <w:color w:val="000000"/>
                <w:sz w:val="20"/>
                <w:szCs w:val="20"/>
              </w:rPr>
            </w:pPr>
            <w:r w:rsidRPr="002A7011">
              <w:rPr>
                <w:color w:val="000000"/>
                <w:sz w:val="33"/>
                <w:szCs w:val="33"/>
                <w:vertAlign w:val="subscript"/>
              </w:rPr>
              <w:object w:dxaOrig="340" w:dyaOrig="300">
                <v:shape id="_x0000_i1050" type="#_x0000_t75" style="width:16.9pt;height:15.05pt" o:ole="">
                  <v:imagedata r:id="rId102" o:title=""/>
                </v:shape>
                <o:OLEObject Type="Embed" ProgID="Equation.DSMT4" ShapeID="_x0000_i1050" DrawAspect="Content" ObjectID="_1707118149" r:id="rId103"/>
              </w:object>
            </w:r>
          </w:p>
        </w:tc>
        <w:tc>
          <w:tcPr>
            <w:tcW w:w="634" w:type="dxa"/>
            <w:tcBorders>
              <w:top w:val="nil"/>
              <w:left w:val="nil"/>
              <w:bottom w:val="single" w:sz="4" w:space="0" w:color="000000"/>
              <w:right w:val="nil"/>
            </w:tcBorders>
            <w:vAlign w:val="bottom"/>
          </w:tcPr>
          <w:p w:rsidR="00222F36" w:rsidRPr="002A7011" w:rsidRDefault="000B682F">
            <w:pPr>
              <w:spacing w:line="240" w:lineRule="auto"/>
              <w:jc w:val="center"/>
              <w:rPr>
                <w:color w:val="000000"/>
                <w:sz w:val="20"/>
                <w:szCs w:val="20"/>
              </w:rPr>
            </w:pPr>
            <w:r w:rsidRPr="002A7011">
              <w:rPr>
                <w:color w:val="000000"/>
                <w:sz w:val="33"/>
                <w:szCs w:val="33"/>
                <w:vertAlign w:val="subscript"/>
              </w:rPr>
              <w:object w:dxaOrig="490" w:dyaOrig="310">
                <v:shape id="_x0000_i1051" type="#_x0000_t75" style="width:24.4pt;height:15.65pt" o:ole="">
                  <v:imagedata r:id="rId104" o:title=""/>
                </v:shape>
                <o:OLEObject Type="Embed" ProgID="Equation.DSMT4" ShapeID="_x0000_i1051" DrawAspect="Content" ObjectID="_1707118150" r:id="rId105"/>
              </w:object>
            </w:r>
          </w:p>
        </w:tc>
        <w:tc>
          <w:tcPr>
            <w:tcW w:w="660" w:type="dxa"/>
            <w:tcBorders>
              <w:top w:val="nil"/>
              <w:left w:val="nil"/>
              <w:bottom w:val="single" w:sz="4" w:space="0" w:color="000000"/>
              <w:right w:val="nil"/>
            </w:tcBorders>
            <w:vAlign w:val="bottom"/>
          </w:tcPr>
          <w:p w:rsidR="00222F36" w:rsidRPr="002A7011" w:rsidRDefault="000B682F">
            <w:pPr>
              <w:spacing w:line="240" w:lineRule="auto"/>
              <w:jc w:val="center"/>
              <w:rPr>
                <w:color w:val="000000"/>
                <w:sz w:val="20"/>
                <w:szCs w:val="20"/>
              </w:rPr>
            </w:pPr>
            <w:r w:rsidRPr="002A7011">
              <w:rPr>
                <w:color w:val="000000"/>
                <w:sz w:val="33"/>
                <w:szCs w:val="33"/>
                <w:vertAlign w:val="subscript"/>
              </w:rPr>
              <w:object w:dxaOrig="540" w:dyaOrig="310">
                <v:shape id="_x0000_i1052" type="#_x0000_t75" style="width:26.9pt;height:15.65pt" o:ole="">
                  <v:imagedata r:id="rId106" o:title=""/>
                </v:shape>
                <o:OLEObject Type="Embed" ProgID="Equation.DSMT4" ShapeID="_x0000_i1052" DrawAspect="Content" ObjectID="_1707118151" r:id="rId107"/>
              </w:object>
            </w:r>
          </w:p>
        </w:tc>
        <w:tc>
          <w:tcPr>
            <w:tcW w:w="661" w:type="dxa"/>
            <w:tcBorders>
              <w:top w:val="nil"/>
              <w:left w:val="nil"/>
              <w:bottom w:val="single" w:sz="4" w:space="0" w:color="000000"/>
              <w:right w:val="nil"/>
            </w:tcBorders>
            <w:vAlign w:val="bottom"/>
          </w:tcPr>
          <w:p w:rsidR="00222F36" w:rsidRPr="002A7011" w:rsidRDefault="000B682F">
            <w:pPr>
              <w:spacing w:line="240" w:lineRule="auto"/>
              <w:jc w:val="center"/>
              <w:rPr>
                <w:color w:val="000000"/>
                <w:sz w:val="20"/>
                <w:szCs w:val="20"/>
              </w:rPr>
            </w:pPr>
            <w:r w:rsidRPr="002A7011">
              <w:rPr>
                <w:color w:val="000000"/>
                <w:sz w:val="33"/>
                <w:szCs w:val="33"/>
                <w:vertAlign w:val="subscript"/>
              </w:rPr>
              <w:object w:dxaOrig="510" w:dyaOrig="310">
                <v:shape id="_x0000_i1053" type="#_x0000_t75" style="width:25.65pt;height:15.65pt" o:ole="">
                  <v:imagedata r:id="rId108" o:title=""/>
                </v:shape>
                <o:OLEObject Type="Embed" ProgID="Equation.DSMT4" ShapeID="_x0000_i1053" DrawAspect="Content" ObjectID="_1707118152" r:id="rId109"/>
              </w:object>
            </w:r>
          </w:p>
        </w:tc>
        <w:tc>
          <w:tcPr>
            <w:tcW w:w="661" w:type="dxa"/>
            <w:tcBorders>
              <w:top w:val="nil"/>
              <w:left w:val="nil"/>
              <w:bottom w:val="single" w:sz="4" w:space="0" w:color="000000"/>
              <w:right w:val="nil"/>
            </w:tcBorders>
            <w:vAlign w:val="bottom"/>
          </w:tcPr>
          <w:p w:rsidR="00222F36" w:rsidRPr="002A7011" w:rsidRDefault="000B682F">
            <w:pPr>
              <w:spacing w:line="240" w:lineRule="auto"/>
              <w:jc w:val="center"/>
              <w:rPr>
                <w:color w:val="000000"/>
                <w:sz w:val="20"/>
                <w:szCs w:val="20"/>
              </w:rPr>
            </w:pPr>
            <w:r w:rsidRPr="002A7011">
              <w:rPr>
                <w:color w:val="000000"/>
                <w:sz w:val="33"/>
                <w:szCs w:val="33"/>
                <w:vertAlign w:val="subscript"/>
              </w:rPr>
              <w:object w:dxaOrig="640" w:dyaOrig="300">
                <v:shape id="_x0000_i1054" type="#_x0000_t75" style="width:31.95pt;height:15.05pt" o:ole="">
                  <v:imagedata r:id="rId110" o:title=""/>
                </v:shape>
                <o:OLEObject Type="Embed" ProgID="Equation.DSMT4" ShapeID="_x0000_i1054" DrawAspect="Content" ObjectID="_1707118153" r:id="rId111"/>
              </w:object>
            </w:r>
          </w:p>
        </w:tc>
        <w:tc>
          <w:tcPr>
            <w:tcW w:w="661" w:type="dxa"/>
            <w:tcBorders>
              <w:top w:val="nil"/>
              <w:left w:val="nil"/>
              <w:bottom w:val="single" w:sz="4" w:space="0" w:color="000000"/>
              <w:right w:val="nil"/>
            </w:tcBorders>
            <w:vAlign w:val="bottom"/>
          </w:tcPr>
          <w:p w:rsidR="00222F36" w:rsidRPr="002A7011" w:rsidRDefault="000B682F">
            <w:pPr>
              <w:spacing w:line="240" w:lineRule="auto"/>
              <w:jc w:val="center"/>
              <w:rPr>
                <w:color w:val="000000"/>
                <w:sz w:val="20"/>
                <w:szCs w:val="20"/>
              </w:rPr>
            </w:pPr>
            <w:r w:rsidRPr="002A7011">
              <w:rPr>
                <w:color w:val="000000"/>
                <w:sz w:val="33"/>
                <w:szCs w:val="33"/>
                <w:vertAlign w:val="subscript"/>
              </w:rPr>
              <w:object w:dxaOrig="540" w:dyaOrig="310">
                <v:shape id="_x0000_i1055" type="#_x0000_t75" style="width:26.9pt;height:15.65pt" o:ole="">
                  <v:imagedata r:id="rId112" o:title=""/>
                </v:shape>
                <o:OLEObject Type="Embed" ProgID="Equation.DSMT4" ShapeID="_x0000_i1055" DrawAspect="Content" ObjectID="_1707118154" r:id="rId113"/>
              </w:object>
            </w:r>
          </w:p>
        </w:tc>
        <w:tc>
          <w:tcPr>
            <w:tcW w:w="661" w:type="dxa"/>
            <w:tcBorders>
              <w:top w:val="nil"/>
              <w:left w:val="nil"/>
              <w:bottom w:val="single" w:sz="4" w:space="0" w:color="000000"/>
              <w:right w:val="nil"/>
            </w:tcBorders>
            <w:vAlign w:val="bottom"/>
          </w:tcPr>
          <w:p w:rsidR="00222F36" w:rsidRPr="002A7011" w:rsidRDefault="000B682F">
            <w:pPr>
              <w:spacing w:line="240" w:lineRule="auto"/>
              <w:jc w:val="center"/>
              <w:rPr>
                <w:color w:val="000000"/>
                <w:sz w:val="20"/>
                <w:szCs w:val="20"/>
              </w:rPr>
            </w:pPr>
            <w:r w:rsidRPr="002A7011">
              <w:rPr>
                <w:color w:val="000000"/>
                <w:sz w:val="33"/>
                <w:szCs w:val="33"/>
                <w:vertAlign w:val="subscript"/>
              </w:rPr>
              <w:object w:dxaOrig="540" w:dyaOrig="310">
                <v:shape id="_x0000_i1056" type="#_x0000_t75" style="width:26.9pt;height:15.65pt" o:ole="">
                  <v:imagedata r:id="rId114" o:title=""/>
                </v:shape>
                <o:OLEObject Type="Embed" ProgID="Equation.DSMT4" ShapeID="_x0000_i1056" DrawAspect="Content" ObjectID="_1707118155" r:id="rId115"/>
              </w:object>
            </w:r>
          </w:p>
        </w:tc>
      </w:tr>
      <w:tr w:rsidR="00222F36" w:rsidRPr="002A7011">
        <w:trPr>
          <w:trHeight w:val="320"/>
        </w:trPr>
        <w:tc>
          <w:tcPr>
            <w:tcW w:w="840" w:type="dxa"/>
            <w:tcBorders>
              <w:top w:val="single" w:sz="4" w:space="0" w:color="000000"/>
              <w:left w:val="nil"/>
              <w:bottom w:val="nil"/>
              <w:right w:val="nil"/>
            </w:tcBorders>
          </w:tcPr>
          <w:p w:rsidR="00222F36" w:rsidRPr="002A7011" w:rsidRDefault="000B682F">
            <w:pPr>
              <w:spacing w:line="240" w:lineRule="auto"/>
              <w:jc w:val="center"/>
              <w:rPr>
                <w:color w:val="000000"/>
                <w:sz w:val="20"/>
                <w:szCs w:val="20"/>
              </w:rPr>
            </w:pPr>
            <w:r w:rsidRPr="002A7011">
              <w:rPr>
                <w:color w:val="000000"/>
                <w:sz w:val="33"/>
                <w:szCs w:val="33"/>
                <w:vertAlign w:val="subscript"/>
              </w:rPr>
              <w:object w:dxaOrig="350" w:dyaOrig="310">
                <v:shape id="_x0000_i1057" type="#_x0000_t75" style="width:17.55pt;height:15.65pt" o:ole="">
                  <v:imagedata r:id="rId116" o:title=""/>
                </v:shape>
                <o:OLEObject Type="Embed" ProgID="Equation.DSMT4" ShapeID="_x0000_i1057" DrawAspect="Content" ObjectID="_1707118156" r:id="rId117"/>
              </w:object>
            </w:r>
          </w:p>
        </w:tc>
        <w:tc>
          <w:tcPr>
            <w:tcW w:w="646" w:type="dxa"/>
            <w:tcBorders>
              <w:top w:val="single" w:sz="4" w:space="0" w:color="000000"/>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-0.064</w:t>
            </w:r>
          </w:p>
        </w:tc>
        <w:tc>
          <w:tcPr>
            <w:tcW w:w="731" w:type="dxa"/>
            <w:tcBorders>
              <w:top w:val="single" w:sz="4" w:space="0" w:color="000000"/>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0.003</w:t>
            </w:r>
          </w:p>
        </w:tc>
        <w:tc>
          <w:tcPr>
            <w:tcW w:w="691" w:type="dxa"/>
            <w:tcBorders>
              <w:top w:val="single" w:sz="4" w:space="0" w:color="000000"/>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-0.033</w:t>
            </w:r>
          </w:p>
        </w:tc>
        <w:tc>
          <w:tcPr>
            <w:tcW w:w="734" w:type="dxa"/>
            <w:tcBorders>
              <w:top w:val="single" w:sz="4" w:space="0" w:color="000000"/>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0.003</w:t>
            </w:r>
          </w:p>
        </w:tc>
        <w:tc>
          <w:tcPr>
            <w:tcW w:w="634" w:type="dxa"/>
            <w:tcBorders>
              <w:top w:val="single" w:sz="4" w:space="0" w:color="000000"/>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0.089</w:t>
            </w:r>
          </w:p>
        </w:tc>
        <w:tc>
          <w:tcPr>
            <w:tcW w:w="660" w:type="dxa"/>
            <w:tcBorders>
              <w:top w:val="single" w:sz="4" w:space="0" w:color="000000"/>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-0.090</w:t>
            </w:r>
          </w:p>
        </w:tc>
        <w:tc>
          <w:tcPr>
            <w:tcW w:w="661" w:type="dxa"/>
            <w:tcBorders>
              <w:top w:val="single" w:sz="4" w:space="0" w:color="000000"/>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-0.259</w:t>
            </w:r>
          </w:p>
        </w:tc>
        <w:tc>
          <w:tcPr>
            <w:tcW w:w="661" w:type="dxa"/>
            <w:tcBorders>
              <w:top w:val="single" w:sz="4" w:space="0" w:color="000000"/>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-0.561</w:t>
            </w:r>
          </w:p>
        </w:tc>
        <w:tc>
          <w:tcPr>
            <w:tcW w:w="661" w:type="dxa"/>
            <w:tcBorders>
              <w:top w:val="single" w:sz="4" w:space="0" w:color="000000"/>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0.015</w:t>
            </w:r>
          </w:p>
        </w:tc>
        <w:tc>
          <w:tcPr>
            <w:tcW w:w="661" w:type="dxa"/>
            <w:tcBorders>
              <w:top w:val="single" w:sz="4" w:space="0" w:color="000000"/>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0.151</w:t>
            </w:r>
          </w:p>
        </w:tc>
      </w:tr>
      <w:tr w:rsidR="00222F36" w:rsidRPr="002A7011">
        <w:trPr>
          <w:trHeight w:val="320"/>
        </w:trPr>
        <w:tc>
          <w:tcPr>
            <w:tcW w:w="840" w:type="dxa"/>
            <w:tcBorders>
              <w:top w:val="nil"/>
              <w:left w:val="nil"/>
              <w:bottom w:val="nil"/>
              <w:right w:val="nil"/>
            </w:tcBorders>
          </w:tcPr>
          <w:p w:rsidR="00222F36" w:rsidRPr="002A7011" w:rsidRDefault="00222F36">
            <w:pPr>
              <w:spacing w:line="240" w:lineRule="auto"/>
              <w:jc w:val="center"/>
              <w:rPr>
                <w:color w:val="000000"/>
                <w:sz w:val="20"/>
                <w:szCs w:val="20"/>
              </w:rPr>
            </w:pPr>
          </w:p>
        </w:tc>
        <w:tc>
          <w:tcPr>
            <w:tcW w:w="646"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(0.016)</w:t>
            </w:r>
          </w:p>
        </w:tc>
        <w:tc>
          <w:tcPr>
            <w:tcW w:w="73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(0.041)</w:t>
            </w:r>
          </w:p>
        </w:tc>
        <w:tc>
          <w:tcPr>
            <w:tcW w:w="69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(0.011)</w:t>
            </w:r>
          </w:p>
        </w:tc>
        <w:tc>
          <w:tcPr>
            <w:tcW w:w="7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(0.005)</w:t>
            </w:r>
          </w:p>
        </w:tc>
        <w:tc>
          <w:tcPr>
            <w:tcW w:w="6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(0.218)</w:t>
            </w:r>
          </w:p>
        </w:tc>
        <w:tc>
          <w:tcPr>
            <w:tcW w:w="660"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(0.218)</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(0.214)</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(0.136)</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(0.048)</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(0.043)</w:t>
            </w:r>
          </w:p>
        </w:tc>
      </w:tr>
      <w:tr w:rsidR="00222F36" w:rsidRPr="002A7011">
        <w:trPr>
          <w:trHeight w:val="320"/>
        </w:trPr>
        <w:tc>
          <w:tcPr>
            <w:tcW w:w="840" w:type="dxa"/>
            <w:tcBorders>
              <w:top w:val="nil"/>
              <w:left w:val="nil"/>
              <w:bottom w:val="nil"/>
              <w:right w:val="nil"/>
            </w:tcBorders>
          </w:tcPr>
          <w:p w:rsidR="00222F36" w:rsidRPr="002A7011" w:rsidRDefault="000B682F">
            <w:pPr>
              <w:spacing w:line="240" w:lineRule="auto"/>
              <w:jc w:val="center"/>
              <w:rPr>
                <w:color w:val="000000"/>
                <w:sz w:val="20"/>
                <w:szCs w:val="20"/>
              </w:rPr>
            </w:pPr>
            <w:r w:rsidRPr="002A7011">
              <w:rPr>
                <w:color w:val="000000"/>
                <w:sz w:val="33"/>
                <w:szCs w:val="33"/>
                <w:vertAlign w:val="subscript"/>
              </w:rPr>
              <w:object w:dxaOrig="500" w:dyaOrig="310">
                <v:shape id="_x0000_i1058" type="#_x0000_t75" style="width:25.05pt;height:15.65pt" o:ole="">
                  <v:imagedata r:id="rId118" o:title=""/>
                </v:shape>
                <o:OLEObject Type="Embed" ProgID="Equation.DSMT4" ShapeID="_x0000_i1058" DrawAspect="Content" ObjectID="_1707118157" r:id="rId119"/>
              </w:object>
            </w:r>
          </w:p>
        </w:tc>
        <w:tc>
          <w:tcPr>
            <w:tcW w:w="646"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-0.007</w:t>
            </w:r>
          </w:p>
        </w:tc>
        <w:tc>
          <w:tcPr>
            <w:tcW w:w="73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-0.025</w:t>
            </w:r>
          </w:p>
        </w:tc>
        <w:tc>
          <w:tcPr>
            <w:tcW w:w="69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0.065</w:t>
            </w:r>
          </w:p>
        </w:tc>
        <w:tc>
          <w:tcPr>
            <w:tcW w:w="7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0.006</w:t>
            </w:r>
          </w:p>
        </w:tc>
        <w:tc>
          <w:tcPr>
            <w:tcW w:w="6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0.261</w:t>
            </w:r>
          </w:p>
        </w:tc>
        <w:tc>
          <w:tcPr>
            <w:tcW w:w="660"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-0.241</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-0.847</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0.070</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-0.075</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-0.021</w:t>
            </w:r>
          </w:p>
        </w:tc>
      </w:tr>
      <w:tr w:rsidR="00222F36" w:rsidRPr="002A7011">
        <w:trPr>
          <w:trHeight w:val="320"/>
        </w:trPr>
        <w:tc>
          <w:tcPr>
            <w:tcW w:w="840" w:type="dxa"/>
            <w:tcBorders>
              <w:top w:val="nil"/>
              <w:left w:val="nil"/>
              <w:bottom w:val="nil"/>
              <w:right w:val="nil"/>
            </w:tcBorders>
          </w:tcPr>
          <w:p w:rsidR="00222F36" w:rsidRPr="002A7011" w:rsidRDefault="00222F36">
            <w:pPr>
              <w:spacing w:line="240" w:lineRule="auto"/>
              <w:jc w:val="center"/>
              <w:rPr>
                <w:color w:val="000000"/>
                <w:sz w:val="20"/>
                <w:szCs w:val="20"/>
              </w:rPr>
            </w:pPr>
          </w:p>
        </w:tc>
        <w:tc>
          <w:tcPr>
            <w:tcW w:w="646"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(0.018)</w:t>
            </w:r>
          </w:p>
        </w:tc>
        <w:tc>
          <w:tcPr>
            <w:tcW w:w="73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(0.044)</w:t>
            </w:r>
          </w:p>
        </w:tc>
        <w:tc>
          <w:tcPr>
            <w:tcW w:w="69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(0.012)</w:t>
            </w:r>
          </w:p>
        </w:tc>
        <w:tc>
          <w:tcPr>
            <w:tcW w:w="7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(0.005)</w:t>
            </w:r>
          </w:p>
        </w:tc>
        <w:tc>
          <w:tcPr>
            <w:tcW w:w="6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(0.236)</w:t>
            </w:r>
          </w:p>
        </w:tc>
        <w:tc>
          <w:tcPr>
            <w:tcW w:w="660"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(0.236)</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(0.232)</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(0.147)</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(0.052)</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(0.048)</w:t>
            </w:r>
          </w:p>
        </w:tc>
      </w:tr>
      <w:tr w:rsidR="00222F36" w:rsidRPr="002A7011">
        <w:trPr>
          <w:trHeight w:val="320"/>
        </w:trPr>
        <w:tc>
          <w:tcPr>
            <w:tcW w:w="840" w:type="dxa"/>
            <w:tcBorders>
              <w:top w:val="nil"/>
              <w:left w:val="nil"/>
              <w:bottom w:val="nil"/>
              <w:right w:val="nil"/>
            </w:tcBorders>
          </w:tcPr>
          <w:p w:rsidR="00222F36" w:rsidRPr="002A7011" w:rsidRDefault="000B682F">
            <w:pPr>
              <w:spacing w:line="240" w:lineRule="auto"/>
              <w:jc w:val="center"/>
              <w:rPr>
                <w:color w:val="000000"/>
                <w:sz w:val="20"/>
                <w:szCs w:val="20"/>
              </w:rPr>
            </w:pPr>
            <w:r w:rsidRPr="002A7011">
              <w:rPr>
                <w:color w:val="000000"/>
                <w:sz w:val="33"/>
                <w:szCs w:val="33"/>
                <w:vertAlign w:val="subscript"/>
              </w:rPr>
              <w:object w:dxaOrig="490" w:dyaOrig="310">
                <v:shape id="_x0000_i1059" type="#_x0000_t75" style="width:24.4pt;height:15.65pt" o:ole="">
                  <v:imagedata r:id="rId120" o:title=""/>
                </v:shape>
                <o:OLEObject Type="Embed" ProgID="Equation.DSMT4" ShapeID="_x0000_i1059" DrawAspect="Content" ObjectID="_1707118158" r:id="rId121"/>
              </w:object>
            </w:r>
          </w:p>
        </w:tc>
        <w:tc>
          <w:tcPr>
            <w:tcW w:w="646"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0.006</w:t>
            </w:r>
          </w:p>
        </w:tc>
        <w:tc>
          <w:tcPr>
            <w:tcW w:w="73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0.010</w:t>
            </w:r>
          </w:p>
        </w:tc>
        <w:tc>
          <w:tcPr>
            <w:tcW w:w="69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-0.106</w:t>
            </w:r>
          </w:p>
        </w:tc>
        <w:tc>
          <w:tcPr>
            <w:tcW w:w="7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-0.011</w:t>
            </w:r>
          </w:p>
        </w:tc>
        <w:tc>
          <w:tcPr>
            <w:tcW w:w="6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-0.413</w:t>
            </w:r>
          </w:p>
        </w:tc>
        <w:tc>
          <w:tcPr>
            <w:tcW w:w="660"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0.381</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1.485</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0.074</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0.086</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0.044</w:t>
            </w:r>
          </w:p>
        </w:tc>
      </w:tr>
      <w:tr w:rsidR="00222F36" w:rsidRPr="002A7011">
        <w:trPr>
          <w:trHeight w:val="320"/>
        </w:trPr>
        <w:tc>
          <w:tcPr>
            <w:tcW w:w="840" w:type="dxa"/>
            <w:tcBorders>
              <w:top w:val="nil"/>
              <w:left w:val="nil"/>
              <w:bottom w:val="nil"/>
              <w:right w:val="nil"/>
            </w:tcBorders>
          </w:tcPr>
          <w:p w:rsidR="00222F36" w:rsidRPr="002A7011" w:rsidRDefault="00222F36">
            <w:pPr>
              <w:spacing w:line="240" w:lineRule="auto"/>
              <w:jc w:val="center"/>
              <w:rPr>
                <w:color w:val="000000"/>
                <w:sz w:val="20"/>
                <w:szCs w:val="20"/>
              </w:rPr>
            </w:pPr>
          </w:p>
        </w:tc>
        <w:tc>
          <w:tcPr>
            <w:tcW w:w="646"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(0.021)</w:t>
            </w:r>
          </w:p>
        </w:tc>
        <w:tc>
          <w:tcPr>
            <w:tcW w:w="73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(0.068)</w:t>
            </w:r>
          </w:p>
        </w:tc>
        <w:tc>
          <w:tcPr>
            <w:tcW w:w="69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(0.019)</w:t>
            </w:r>
          </w:p>
        </w:tc>
        <w:tc>
          <w:tcPr>
            <w:tcW w:w="7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(0.008)</w:t>
            </w:r>
          </w:p>
        </w:tc>
        <w:tc>
          <w:tcPr>
            <w:tcW w:w="6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(0.363)</w:t>
            </w:r>
          </w:p>
        </w:tc>
        <w:tc>
          <w:tcPr>
            <w:tcW w:w="660"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(0.362)</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(0.357)</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(0.227)</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(0.080)</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(0.071)</w:t>
            </w:r>
          </w:p>
        </w:tc>
      </w:tr>
      <w:tr w:rsidR="00222F36" w:rsidRPr="002A7011">
        <w:trPr>
          <w:trHeight w:val="320"/>
        </w:trPr>
        <w:tc>
          <w:tcPr>
            <w:tcW w:w="840" w:type="dxa"/>
            <w:tcBorders>
              <w:top w:val="nil"/>
              <w:left w:val="nil"/>
              <w:bottom w:val="nil"/>
              <w:right w:val="nil"/>
            </w:tcBorders>
          </w:tcPr>
          <w:p w:rsidR="00222F36" w:rsidRPr="002A7011" w:rsidRDefault="000B682F">
            <w:pPr>
              <w:spacing w:line="240" w:lineRule="auto"/>
              <w:jc w:val="center"/>
              <w:rPr>
                <w:color w:val="000000"/>
                <w:sz w:val="20"/>
                <w:szCs w:val="20"/>
              </w:rPr>
            </w:pPr>
            <w:r w:rsidRPr="002A7011">
              <w:rPr>
                <w:color w:val="000000"/>
                <w:sz w:val="33"/>
                <w:szCs w:val="33"/>
                <w:vertAlign w:val="subscript"/>
              </w:rPr>
              <w:object w:dxaOrig="350" w:dyaOrig="310">
                <v:shape id="_x0000_i1060" type="#_x0000_t75" style="width:17.55pt;height:15.65pt" o:ole="">
                  <v:imagedata r:id="rId122" o:title=""/>
                </v:shape>
                <o:OLEObject Type="Embed" ProgID="Equation.DSMT4" ShapeID="_x0000_i1060" DrawAspect="Content" ObjectID="_1707118159" r:id="rId123"/>
              </w:object>
            </w:r>
          </w:p>
        </w:tc>
        <w:tc>
          <w:tcPr>
            <w:tcW w:w="646"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-0.024</w:t>
            </w:r>
          </w:p>
        </w:tc>
        <w:tc>
          <w:tcPr>
            <w:tcW w:w="73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0.059</w:t>
            </w:r>
          </w:p>
        </w:tc>
        <w:tc>
          <w:tcPr>
            <w:tcW w:w="69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0.159</w:t>
            </w:r>
          </w:p>
        </w:tc>
        <w:tc>
          <w:tcPr>
            <w:tcW w:w="7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0.016</w:t>
            </w:r>
          </w:p>
        </w:tc>
        <w:tc>
          <w:tcPr>
            <w:tcW w:w="6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1.220</w:t>
            </w:r>
          </w:p>
        </w:tc>
        <w:tc>
          <w:tcPr>
            <w:tcW w:w="660"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-1.152</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-5.455</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-1.625</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0.260</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-0.138</w:t>
            </w:r>
          </w:p>
        </w:tc>
      </w:tr>
      <w:tr w:rsidR="00222F36" w:rsidRPr="002A7011">
        <w:trPr>
          <w:trHeight w:val="320"/>
        </w:trPr>
        <w:tc>
          <w:tcPr>
            <w:tcW w:w="840" w:type="dxa"/>
            <w:tcBorders>
              <w:top w:val="nil"/>
              <w:left w:val="nil"/>
              <w:bottom w:val="nil"/>
              <w:right w:val="nil"/>
            </w:tcBorders>
          </w:tcPr>
          <w:p w:rsidR="00222F36" w:rsidRPr="002A7011" w:rsidRDefault="00222F36">
            <w:pPr>
              <w:spacing w:line="240" w:lineRule="auto"/>
              <w:jc w:val="center"/>
              <w:rPr>
                <w:color w:val="000000"/>
                <w:sz w:val="20"/>
                <w:szCs w:val="20"/>
              </w:rPr>
            </w:pPr>
          </w:p>
        </w:tc>
        <w:tc>
          <w:tcPr>
            <w:tcW w:w="646"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(0.062)</w:t>
            </w:r>
          </w:p>
        </w:tc>
        <w:tc>
          <w:tcPr>
            <w:tcW w:w="73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(0.157)</w:t>
            </w:r>
          </w:p>
        </w:tc>
        <w:tc>
          <w:tcPr>
            <w:tcW w:w="69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(0.044)</w:t>
            </w:r>
          </w:p>
        </w:tc>
        <w:tc>
          <w:tcPr>
            <w:tcW w:w="7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(0.019)</w:t>
            </w:r>
          </w:p>
        </w:tc>
        <w:tc>
          <w:tcPr>
            <w:tcW w:w="6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(0.837)</w:t>
            </w:r>
          </w:p>
        </w:tc>
        <w:tc>
          <w:tcPr>
            <w:tcW w:w="660"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(0.836)</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(0.824)</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(0.523)</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(0.186)</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(0.165)</w:t>
            </w:r>
          </w:p>
        </w:tc>
      </w:tr>
      <w:tr w:rsidR="00222F36" w:rsidRPr="002A7011">
        <w:trPr>
          <w:trHeight w:val="320"/>
        </w:trPr>
        <w:tc>
          <w:tcPr>
            <w:tcW w:w="840" w:type="dxa"/>
            <w:tcBorders>
              <w:top w:val="nil"/>
              <w:left w:val="nil"/>
              <w:bottom w:val="nil"/>
              <w:right w:val="nil"/>
            </w:tcBorders>
          </w:tcPr>
          <w:p w:rsidR="00222F36" w:rsidRPr="002A7011" w:rsidRDefault="000B682F">
            <w:pPr>
              <w:spacing w:line="240" w:lineRule="auto"/>
              <w:jc w:val="center"/>
              <w:rPr>
                <w:color w:val="000000"/>
                <w:sz w:val="20"/>
                <w:szCs w:val="20"/>
              </w:rPr>
            </w:pPr>
            <w:r w:rsidRPr="002A7011">
              <w:rPr>
                <w:color w:val="000000"/>
                <w:sz w:val="33"/>
                <w:szCs w:val="33"/>
                <w:vertAlign w:val="subscript"/>
              </w:rPr>
              <w:object w:dxaOrig="510" w:dyaOrig="300">
                <v:shape id="_x0000_i1061" type="#_x0000_t75" style="width:25.65pt;height:15.05pt" o:ole="">
                  <v:imagedata r:id="rId124" o:title=""/>
                </v:shape>
                <o:OLEObject Type="Embed" ProgID="Equation.DSMT4" ShapeID="_x0000_i1061" DrawAspect="Content" ObjectID="_1707118160" r:id="rId125"/>
              </w:object>
            </w:r>
          </w:p>
        </w:tc>
        <w:tc>
          <w:tcPr>
            <w:tcW w:w="646"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0.351</w:t>
            </w:r>
          </w:p>
        </w:tc>
        <w:tc>
          <w:tcPr>
            <w:tcW w:w="73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0.087</w:t>
            </w:r>
          </w:p>
        </w:tc>
        <w:tc>
          <w:tcPr>
            <w:tcW w:w="69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0.096</w:t>
            </w:r>
          </w:p>
        </w:tc>
        <w:tc>
          <w:tcPr>
            <w:tcW w:w="7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0.059</w:t>
            </w:r>
          </w:p>
        </w:tc>
        <w:tc>
          <w:tcPr>
            <w:tcW w:w="6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-0.181</w:t>
            </w:r>
          </w:p>
        </w:tc>
        <w:tc>
          <w:tcPr>
            <w:tcW w:w="660"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0.255</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-1.935</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-0.261</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0.193</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0.071</w:t>
            </w:r>
          </w:p>
        </w:tc>
      </w:tr>
      <w:tr w:rsidR="00222F36" w:rsidRPr="002A7011">
        <w:trPr>
          <w:trHeight w:val="320"/>
        </w:trPr>
        <w:tc>
          <w:tcPr>
            <w:tcW w:w="840" w:type="dxa"/>
            <w:tcBorders>
              <w:top w:val="nil"/>
              <w:left w:val="nil"/>
              <w:bottom w:val="nil"/>
              <w:right w:val="nil"/>
            </w:tcBorders>
          </w:tcPr>
          <w:p w:rsidR="00222F36" w:rsidRPr="002A7011" w:rsidRDefault="00222F36">
            <w:pPr>
              <w:spacing w:line="240" w:lineRule="auto"/>
              <w:jc w:val="center"/>
              <w:rPr>
                <w:color w:val="000000"/>
                <w:sz w:val="20"/>
                <w:szCs w:val="20"/>
              </w:rPr>
            </w:pPr>
          </w:p>
        </w:tc>
        <w:tc>
          <w:tcPr>
            <w:tcW w:w="646"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(0.069)</w:t>
            </w:r>
          </w:p>
        </w:tc>
        <w:tc>
          <w:tcPr>
            <w:tcW w:w="73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(0.176)</w:t>
            </w:r>
          </w:p>
        </w:tc>
        <w:tc>
          <w:tcPr>
            <w:tcW w:w="69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(0.049)</w:t>
            </w:r>
          </w:p>
        </w:tc>
        <w:tc>
          <w:tcPr>
            <w:tcW w:w="7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(0.021)</w:t>
            </w:r>
          </w:p>
        </w:tc>
        <w:tc>
          <w:tcPr>
            <w:tcW w:w="6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(0.937)</w:t>
            </w:r>
          </w:p>
        </w:tc>
        <w:tc>
          <w:tcPr>
            <w:tcW w:w="660"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(0.936)</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(0.922)</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(0.586)</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(0.208)</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(0.184)</w:t>
            </w:r>
          </w:p>
        </w:tc>
      </w:tr>
      <w:tr w:rsidR="00222F36" w:rsidRPr="002A7011">
        <w:trPr>
          <w:trHeight w:val="320"/>
        </w:trPr>
        <w:tc>
          <w:tcPr>
            <w:tcW w:w="840" w:type="dxa"/>
            <w:tcBorders>
              <w:top w:val="nil"/>
              <w:left w:val="nil"/>
              <w:bottom w:val="nil"/>
              <w:right w:val="nil"/>
            </w:tcBorders>
          </w:tcPr>
          <w:p w:rsidR="00222F36" w:rsidRPr="002A7011" w:rsidRDefault="000B682F">
            <w:pPr>
              <w:spacing w:line="240" w:lineRule="auto"/>
              <w:jc w:val="center"/>
              <w:rPr>
                <w:color w:val="000000"/>
                <w:sz w:val="20"/>
                <w:szCs w:val="20"/>
              </w:rPr>
            </w:pPr>
            <w:r w:rsidRPr="002A7011">
              <w:rPr>
                <w:color w:val="000000"/>
                <w:sz w:val="33"/>
                <w:szCs w:val="33"/>
                <w:vertAlign w:val="subscript"/>
              </w:rPr>
              <w:object w:dxaOrig="840" w:dyaOrig="300">
                <v:shape id="_x0000_i1062" type="#_x0000_t75" style="width:41.95pt;height:15.05pt" o:ole="">
                  <v:imagedata r:id="rId126" o:title=""/>
                </v:shape>
                <o:OLEObject Type="Embed" ProgID="Equation.DSMT4" ShapeID="_x0000_i1062" DrawAspect="Content" ObjectID="_1707118161" r:id="rId127"/>
              </w:object>
            </w:r>
          </w:p>
        </w:tc>
        <w:tc>
          <w:tcPr>
            <w:tcW w:w="646"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0.104</w:t>
            </w:r>
          </w:p>
        </w:tc>
        <w:tc>
          <w:tcPr>
            <w:tcW w:w="73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-0.009</w:t>
            </w:r>
          </w:p>
        </w:tc>
        <w:tc>
          <w:tcPr>
            <w:tcW w:w="69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-0.013</w:t>
            </w:r>
          </w:p>
        </w:tc>
        <w:tc>
          <w:tcPr>
            <w:tcW w:w="7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-0.002</w:t>
            </w:r>
          </w:p>
        </w:tc>
        <w:tc>
          <w:tcPr>
            <w:tcW w:w="6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0.542</w:t>
            </w:r>
          </w:p>
        </w:tc>
        <w:tc>
          <w:tcPr>
            <w:tcW w:w="660"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-0.569</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0.492</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-0.553</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0.154</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-0.030</w:t>
            </w:r>
          </w:p>
        </w:tc>
      </w:tr>
      <w:tr w:rsidR="00222F36" w:rsidRPr="002A7011">
        <w:trPr>
          <w:trHeight w:val="320"/>
        </w:trPr>
        <w:tc>
          <w:tcPr>
            <w:tcW w:w="840" w:type="dxa"/>
            <w:tcBorders>
              <w:top w:val="nil"/>
              <w:left w:val="nil"/>
              <w:bottom w:val="nil"/>
              <w:right w:val="nil"/>
            </w:tcBorders>
          </w:tcPr>
          <w:p w:rsidR="00222F36" w:rsidRPr="002A7011" w:rsidRDefault="00222F36">
            <w:pPr>
              <w:spacing w:line="240" w:lineRule="auto"/>
              <w:jc w:val="center"/>
              <w:rPr>
                <w:color w:val="000000"/>
                <w:sz w:val="20"/>
                <w:szCs w:val="20"/>
              </w:rPr>
            </w:pPr>
          </w:p>
        </w:tc>
        <w:tc>
          <w:tcPr>
            <w:tcW w:w="646"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(0.039)</w:t>
            </w:r>
          </w:p>
        </w:tc>
        <w:tc>
          <w:tcPr>
            <w:tcW w:w="73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(0.101)</w:t>
            </w:r>
          </w:p>
        </w:tc>
        <w:tc>
          <w:tcPr>
            <w:tcW w:w="69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(0.028)</w:t>
            </w:r>
          </w:p>
        </w:tc>
        <w:tc>
          <w:tcPr>
            <w:tcW w:w="7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(0.012)</w:t>
            </w:r>
          </w:p>
        </w:tc>
        <w:tc>
          <w:tcPr>
            <w:tcW w:w="6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(0.537)</w:t>
            </w:r>
          </w:p>
        </w:tc>
        <w:tc>
          <w:tcPr>
            <w:tcW w:w="660"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(0.537)</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(0.529)</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(0.336)</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(0.119)</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(0.109)</w:t>
            </w:r>
          </w:p>
        </w:tc>
      </w:tr>
      <w:tr w:rsidR="00222F36" w:rsidRPr="002A7011">
        <w:trPr>
          <w:trHeight w:val="320"/>
        </w:trPr>
        <w:tc>
          <w:tcPr>
            <w:tcW w:w="840" w:type="dxa"/>
            <w:tcBorders>
              <w:top w:val="nil"/>
              <w:left w:val="nil"/>
              <w:bottom w:val="nil"/>
              <w:right w:val="nil"/>
            </w:tcBorders>
          </w:tcPr>
          <w:p w:rsidR="00222F36" w:rsidRPr="002A7011" w:rsidRDefault="000B682F">
            <w:pPr>
              <w:spacing w:line="240" w:lineRule="auto"/>
              <w:jc w:val="center"/>
              <w:rPr>
                <w:color w:val="000000"/>
                <w:sz w:val="20"/>
                <w:szCs w:val="20"/>
              </w:rPr>
            </w:pPr>
            <w:r w:rsidRPr="002A7011">
              <w:rPr>
                <w:color w:val="000000"/>
                <w:sz w:val="33"/>
                <w:szCs w:val="33"/>
                <w:vertAlign w:val="subscript"/>
              </w:rPr>
              <w:object w:dxaOrig="790" w:dyaOrig="300">
                <v:shape id="_x0000_i1063" type="#_x0000_t75" style="width:39.45pt;height:15.05pt" o:ole="">
                  <v:imagedata r:id="rId128" o:title=""/>
                </v:shape>
                <o:OLEObject Type="Embed" ProgID="Equation.DSMT4" ShapeID="_x0000_i1063" DrawAspect="Content" ObjectID="_1707118162" r:id="rId129"/>
              </w:object>
            </w:r>
          </w:p>
        </w:tc>
        <w:tc>
          <w:tcPr>
            <w:tcW w:w="646"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-0.103</w:t>
            </w:r>
          </w:p>
        </w:tc>
        <w:tc>
          <w:tcPr>
            <w:tcW w:w="73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-0.237</w:t>
            </w:r>
          </w:p>
        </w:tc>
        <w:tc>
          <w:tcPr>
            <w:tcW w:w="69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0.087</w:t>
            </w:r>
          </w:p>
        </w:tc>
        <w:tc>
          <w:tcPr>
            <w:tcW w:w="7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-0.033</w:t>
            </w:r>
          </w:p>
        </w:tc>
        <w:tc>
          <w:tcPr>
            <w:tcW w:w="6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0.928</w:t>
            </w:r>
          </w:p>
        </w:tc>
        <w:tc>
          <w:tcPr>
            <w:tcW w:w="660"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-0.973</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0.879</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-0.364</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0.381</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-0.406</w:t>
            </w:r>
          </w:p>
        </w:tc>
      </w:tr>
      <w:tr w:rsidR="00222F36" w:rsidRPr="002A7011">
        <w:trPr>
          <w:trHeight w:val="320"/>
        </w:trPr>
        <w:tc>
          <w:tcPr>
            <w:tcW w:w="840" w:type="dxa"/>
            <w:tcBorders>
              <w:top w:val="nil"/>
              <w:left w:val="nil"/>
              <w:bottom w:val="nil"/>
              <w:right w:val="nil"/>
            </w:tcBorders>
          </w:tcPr>
          <w:p w:rsidR="00222F36" w:rsidRPr="002A7011" w:rsidRDefault="00222F36">
            <w:pPr>
              <w:spacing w:line="240" w:lineRule="auto"/>
              <w:jc w:val="center"/>
              <w:rPr>
                <w:color w:val="000000"/>
                <w:sz w:val="20"/>
                <w:szCs w:val="20"/>
              </w:rPr>
            </w:pPr>
          </w:p>
        </w:tc>
        <w:tc>
          <w:tcPr>
            <w:tcW w:w="646"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(0.105)</w:t>
            </w:r>
          </w:p>
        </w:tc>
        <w:tc>
          <w:tcPr>
            <w:tcW w:w="73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(0.266)</w:t>
            </w:r>
          </w:p>
        </w:tc>
        <w:tc>
          <w:tcPr>
            <w:tcW w:w="69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(0.074)</w:t>
            </w:r>
          </w:p>
        </w:tc>
        <w:tc>
          <w:tcPr>
            <w:tcW w:w="7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(0.033)</w:t>
            </w:r>
          </w:p>
        </w:tc>
        <w:tc>
          <w:tcPr>
            <w:tcW w:w="6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(1.416)</w:t>
            </w:r>
          </w:p>
        </w:tc>
        <w:tc>
          <w:tcPr>
            <w:tcW w:w="660"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(1.414)</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(1.393)</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(0.885)</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(0.315)</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(0.279)</w:t>
            </w:r>
          </w:p>
        </w:tc>
      </w:tr>
      <w:tr w:rsidR="00222F36" w:rsidRPr="002A7011">
        <w:trPr>
          <w:trHeight w:val="320"/>
        </w:trPr>
        <w:tc>
          <w:tcPr>
            <w:tcW w:w="840" w:type="dxa"/>
            <w:tcBorders>
              <w:top w:val="nil"/>
              <w:left w:val="nil"/>
              <w:bottom w:val="nil"/>
              <w:right w:val="nil"/>
            </w:tcBorders>
          </w:tcPr>
          <w:p w:rsidR="00222F36" w:rsidRPr="002A7011" w:rsidRDefault="000B682F">
            <w:pPr>
              <w:spacing w:line="240" w:lineRule="auto"/>
              <w:jc w:val="center"/>
              <w:rPr>
                <w:color w:val="000000"/>
                <w:sz w:val="20"/>
                <w:szCs w:val="20"/>
              </w:rPr>
            </w:pPr>
            <w:r w:rsidRPr="002A7011">
              <w:rPr>
                <w:color w:val="000000"/>
                <w:sz w:val="33"/>
                <w:szCs w:val="33"/>
                <w:vertAlign w:val="subscript"/>
              </w:rPr>
              <w:object w:dxaOrig="460" w:dyaOrig="300">
                <v:shape id="_x0000_i1064" type="#_x0000_t75" style="width:23.15pt;height:15.05pt" o:ole="">
                  <v:imagedata r:id="rId130" o:title=""/>
                </v:shape>
                <o:OLEObject Type="Embed" ProgID="Equation.DSMT4" ShapeID="_x0000_i1064" DrawAspect="Content" ObjectID="_1707118163" r:id="rId131"/>
              </w:object>
            </w:r>
          </w:p>
        </w:tc>
        <w:tc>
          <w:tcPr>
            <w:tcW w:w="646"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0.201</w:t>
            </w:r>
          </w:p>
        </w:tc>
        <w:tc>
          <w:tcPr>
            <w:tcW w:w="73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-0.106</w:t>
            </w:r>
          </w:p>
        </w:tc>
        <w:tc>
          <w:tcPr>
            <w:tcW w:w="69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0.112</w:t>
            </w:r>
          </w:p>
        </w:tc>
        <w:tc>
          <w:tcPr>
            <w:tcW w:w="7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0.302</w:t>
            </w:r>
          </w:p>
        </w:tc>
        <w:tc>
          <w:tcPr>
            <w:tcW w:w="6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0.637</w:t>
            </w:r>
          </w:p>
        </w:tc>
        <w:tc>
          <w:tcPr>
            <w:tcW w:w="660"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-0.783</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5.965</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3.951</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0.818</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-0.519</w:t>
            </w:r>
          </w:p>
        </w:tc>
      </w:tr>
      <w:tr w:rsidR="00222F36" w:rsidRPr="002A7011">
        <w:trPr>
          <w:trHeight w:val="320"/>
        </w:trPr>
        <w:tc>
          <w:tcPr>
            <w:tcW w:w="840" w:type="dxa"/>
            <w:tcBorders>
              <w:top w:val="nil"/>
              <w:left w:val="nil"/>
              <w:bottom w:val="nil"/>
              <w:right w:val="nil"/>
            </w:tcBorders>
          </w:tcPr>
          <w:p w:rsidR="00222F36" w:rsidRPr="002A7011" w:rsidRDefault="00222F36">
            <w:pPr>
              <w:spacing w:line="240" w:lineRule="auto"/>
              <w:jc w:val="center"/>
              <w:rPr>
                <w:color w:val="000000"/>
                <w:sz w:val="20"/>
                <w:szCs w:val="20"/>
              </w:rPr>
            </w:pPr>
          </w:p>
        </w:tc>
        <w:tc>
          <w:tcPr>
            <w:tcW w:w="646"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(0.252)</w:t>
            </w:r>
          </w:p>
        </w:tc>
        <w:tc>
          <w:tcPr>
            <w:tcW w:w="73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(0.640)</w:t>
            </w:r>
          </w:p>
        </w:tc>
        <w:tc>
          <w:tcPr>
            <w:tcW w:w="69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(0.179)</w:t>
            </w:r>
          </w:p>
        </w:tc>
        <w:tc>
          <w:tcPr>
            <w:tcW w:w="7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(0.079)</w:t>
            </w:r>
          </w:p>
        </w:tc>
        <w:tc>
          <w:tcPr>
            <w:tcW w:w="6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(3.407)</w:t>
            </w:r>
          </w:p>
        </w:tc>
        <w:tc>
          <w:tcPr>
            <w:tcW w:w="660"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(3.403)</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(3.352)</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(2.130)</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(0.759)</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(0.671)</w:t>
            </w:r>
          </w:p>
        </w:tc>
      </w:tr>
      <w:tr w:rsidR="00222F36">
        <w:trPr>
          <w:trHeight w:val="320"/>
        </w:trPr>
        <w:tc>
          <w:tcPr>
            <w:tcW w:w="840" w:type="dxa"/>
            <w:tcBorders>
              <w:top w:val="nil"/>
              <w:left w:val="nil"/>
              <w:bottom w:val="nil"/>
              <w:right w:val="nil"/>
            </w:tcBorders>
          </w:tcPr>
          <w:p w:rsidR="00222F36" w:rsidRPr="002A7011" w:rsidRDefault="000B682F">
            <w:pPr>
              <w:spacing w:line="240" w:lineRule="auto"/>
              <w:jc w:val="center"/>
              <w:rPr>
                <w:color w:val="000000"/>
                <w:sz w:val="20"/>
                <w:szCs w:val="20"/>
              </w:rPr>
            </w:pPr>
            <w:r w:rsidRPr="002A7011">
              <w:rPr>
                <w:color w:val="000000"/>
                <w:sz w:val="33"/>
                <w:szCs w:val="33"/>
                <w:vertAlign w:val="subscript"/>
              </w:rPr>
              <w:object w:dxaOrig="490" w:dyaOrig="310">
                <v:shape id="_x0000_i1065" type="#_x0000_t75" style="width:24.4pt;height:15.65pt" o:ole="">
                  <v:imagedata r:id="rId132" o:title=""/>
                </v:shape>
                <o:OLEObject Type="Embed" ProgID="Equation.DSMT4" ShapeID="_x0000_i1065" DrawAspect="Content" ObjectID="_1707118164" r:id="rId133"/>
              </w:object>
            </w:r>
          </w:p>
        </w:tc>
        <w:tc>
          <w:tcPr>
            <w:tcW w:w="646"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-0.006</w:t>
            </w:r>
          </w:p>
        </w:tc>
        <w:tc>
          <w:tcPr>
            <w:tcW w:w="73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0.129</w:t>
            </w:r>
          </w:p>
        </w:tc>
        <w:tc>
          <w:tcPr>
            <w:tcW w:w="69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0.050</w:t>
            </w:r>
          </w:p>
        </w:tc>
        <w:tc>
          <w:tcPr>
            <w:tcW w:w="7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-0.003</w:t>
            </w:r>
          </w:p>
        </w:tc>
        <w:tc>
          <w:tcPr>
            <w:tcW w:w="634"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1.705</w:t>
            </w:r>
          </w:p>
        </w:tc>
        <w:tc>
          <w:tcPr>
            <w:tcW w:w="660"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-0.832</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0.524</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-1.013</w:t>
            </w:r>
          </w:p>
        </w:tc>
        <w:tc>
          <w:tcPr>
            <w:tcW w:w="661" w:type="dxa"/>
            <w:tcBorders>
              <w:top w:val="nil"/>
              <w:left w:val="nil"/>
              <w:bottom w:val="nil"/>
              <w:right w:val="nil"/>
            </w:tcBorders>
            <w:vAlign w:val="bottom"/>
          </w:tcPr>
          <w:p w:rsidR="00222F36" w:rsidRPr="002A7011" w:rsidRDefault="000B682F">
            <w:pPr>
              <w:spacing w:line="240" w:lineRule="auto"/>
              <w:jc w:val="center"/>
              <w:rPr>
                <w:color w:val="000000"/>
                <w:sz w:val="20"/>
                <w:szCs w:val="20"/>
              </w:rPr>
            </w:pPr>
            <w:r w:rsidRPr="002A7011">
              <w:rPr>
                <w:color w:val="000000"/>
                <w:sz w:val="20"/>
                <w:szCs w:val="20"/>
              </w:rPr>
              <w:t> 0.230</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sidRPr="002A7011">
              <w:rPr>
                <w:color w:val="000000"/>
                <w:sz w:val="20"/>
                <w:szCs w:val="20"/>
              </w:rPr>
              <w:t>-0.321</w:t>
            </w:r>
          </w:p>
        </w:tc>
      </w:tr>
      <w:tr w:rsidR="00222F36">
        <w:trPr>
          <w:trHeight w:val="320"/>
        </w:trPr>
        <w:tc>
          <w:tcPr>
            <w:tcW w:w="840" w:type="dxa"/>
            <w:tcBorders>
              <w:top w:val="nil"/>
              <w:left w:val="nil"/>
              <w:bottom w:val="nil"/>
              <w:right w:val="nil"/>
            </w:tcBorders>
          </w:tcPr>
          <w:p w:rsidR="00222F36" w:rsidRDefault="00222F36">
            <w:pPr>
              <w:spacing w:line="240" w:lineRule="auto"/>
              <w:jc w:val="center"/>
              <w:rPr>
                <w:color w:val="000000"/>
                <w:sz w:val="20"/>
                <w:szCs w:val="20"/>
              </w:rPr>
            </w:pPr>
          </w:p>
        </w:tc>
        <w:tc>
          <w:tcPr>
            <w:tcW w:w="646"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(0.091)</w:t>
            </w:r>
          </w:p>
        </w:tc>
        <w:tc>
          <w:tcPr>
            <w:tcW w:w="73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(0.231)</w:t>
            </w:r>
          </w:p>
        </w:tc>
        <w:tc>
          <w:tcPr>
            <w:tcW w:w="69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(0.064)</w:t>
            </w:r>
          </w:p>
        </w:tc>
        <w:tc>
          <w:tcPr>
            <w:tcW w:w="734"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(0.028)</w:t>
            </w:r>
          </w:p>
        </w:tc>
        <w:tc>
          <w:tcPr>
            <w:tcW w:w="634"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(1.233)</w:t>
            </w:r>
          </w:p>
        </w:tc>
        <w:tc>
          <w:tcPr>
            <w:tcW w:w="660"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(1.232)</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(1.213)</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(0.771)</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(0.274)</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(0.243)</w:t>
            </w:r>
          </w:p>
        </w:tc>
      </w:tr>
      <w:tr w:rsidR="00222F36">
        <w:trPr>
          <w:trHeight w:val="320"/>
        </w:trPr>
        <w:tc>
          <w:tcPr>
            <w:tcW w:w="840" w:type="dxa"/>
            <w:tcBorders>
              <w:top w:val="nil"/>
              <w:left w:val="nil"/>
              <w:bottom w:val="nil"/>
              <w:right w:val="nil"/>
            </w:tcBorders>
          </w:tcPr>
          <w:p w:rsidR="00222F36" w:rsidRDefault="000B682F">
            <w:pPr>
              <w:spacing w:line="240" w:lineRule="auto"/>
              <w:jc w:val="center"/>
              <w:rPr>
                <w:color w:val="000000"/>
                <w:sz w:val="20"/>
                <w:szCs w:val="20"/>
              </w:rPr>
            </w:pPr>
            <w:r>
              <w:rPr>
                <w:color w:val="000000"/>
                <w:sz w:val="33"/>
                <w:szCs w:val="33"/>
                <w:vertAlign w:val="subscript"/>
              </w:rPr>
              <w:object w:dxaOrig="540" w:dyaOrig="310">
                <v:shape id="_x0000_i1066" type="#_x0000_t75" style="width:26.9pt;height:15.65pt" o:ole="">
                  <v:imagedata r:id="rId134" o:title=""/>
                </v:shape>
                <o:OLEObject Type="Embed" ProgID="Equation.DSMT4" ShapeID="_x0000_i1066" DrawAspect="Content" ObjectID="_1707118165" r:id="rId135"/>
              </w:object>
            </w:r>
          </w:p>
        </w:tc>
        <w:tc>
          <w:tcPr>
            <w:tcW w:w="646"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-0.013</w:t>
            </w:r>
          </w:p>
        </w:tc>
        <w:tc>
          <w:tcPr>
            <w:tcW w:w="73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0.107</w:t>
            </w:r>
          </w:p>
        </w:tc>
        <w:tc>
          <w:tcPr>
            <w:tcW w:w="69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0.052</w:t>
            </w:r>
          </w:p>
        </w:tc>
        <w:tc>
          <w:tcPr>
            <w:tcW w:w="734"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-0.006</w:t>
            </w:r>
          </w:p>
        </w:tc>
        <w:tc>
          <w:tcPr>
            <w:tcW w:w="634"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1.584</w:t>
            </w:r>
          </w:p>
        </w:tc>
        <w:tc>
          <w:tcPr>
            <w:tcW w:w="660"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-0.717</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0.719</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-0.944</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0.216</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-0.329</w:t>
            </w:r>
          </w:p>
        </w:tc>
      </w:tr>
      <w:tr w:rsidR="00222F36">
        <w:trPr>
          <w:trHeight w:val="320"/>
        </w:trPr>
        <w:tc>
          <w:tcPr>
            <w:tcW w:w="840" w:type="dxa"/>
            <w:tcBorders>
              <w:top w:val="nil"/>
              <w:left w:val="nil"/>
              <w:bottom w:val="nil"/>
              <w:right w:val="nil"/>
            </w:tcBorders>
          </w:tcPr>
          <w:p w:rsidR="00222F36" w:rsidRDefault="00222F36">
            <w:pPr>
              <w:spacing w:line="240" w:lineRule="auto"/>
              <w:jc w:val="center"/>
              <w:rPr>
                <w:color w:val="000000"/>
                <w:sz w:val="20"/>
                <w:szCs w:val="20"/>
              </w:rPr>
            </w:pPr>
          </w:p>
        </w:tc>
        <w:tc>
          <w:tcPr>
            <w:tcW w:w="646"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(0.092)</w:t>
            </w:r>
          </w:p>
        </w:tc>
        <w:tc>
          <w:tcPr>
            <w:tcW w:w="73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(0.234)</w:t>
            </w:r>
          </w:p>
        </w:tc>
        <w:tc>
          <w:tcPr>
            <w:tcW w:w="69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(0.065)</w:t>
            </w:r>
          </w:p>
        </w:tc>
        <w:tc>
          <w:tcPr>
            <w:tcW w:w="734"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(0.029)</w:t>
            </w:r>
          </w:p>
        </w:tc>
        <w:tc>
          <w:tcPr>
            <w:tcW w:w="634"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(1.246)</w:t>
            </w:r>
          </w:p>
        </w:tc>
        <w:tc>
          <w:tcPr>
            <w:tcW w:w="660"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(1.245)</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(1.226)</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(0.779)</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(0.277)</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(0.245)</w:t>
            </w:r>
          </w:p>
        </w:tc>
      </w:tr>
      <w:tr w:rsidR="00222F36">
        <w:trPr>
          <w:trHeight w:val="320"/>
        </w:trPr>
        <w:tc>
          <w:tcPr>
            <w:tcW w:w="840" w:type="dxa"/>
            <w:tcBorders>
              <w:top w:val="nil"/>
              <w:left w:val="nil"/>
              <w:bottom w:val="nil"/>
              <w:right w:val="nil"/>
            </w:tcBorders>
          </w:tcPr>
          <w:p w:rsidR="00222F36" w:rsidRDefault="000B682F">
            <w:pPr>
              <w:spacing w:line="240" w:lineRule="auto"/>
              <w:jc w:val="center"/>
              <w:rPr>
                <w:color w:val="000000"/>
                <w:sz w:val="20"/>
                <w:szCs w:val="20"/>
              </w:rPr>
            </w:pPr>
            <w:r>
              <w:rPr>
                <w:color w:val="000000"/>
                <w:sz w:val="33"/>
                <w:szCs w:val="33"/>
                <w:vertAlign w:val="subscript"/>
              </w:rPr>
              <w:object w:dxaOrig="510" w:dyaOrig="310">
                <v:shape id="_x0000_i1067" type="#_x0000_t75" style="width:25.65pt;height:15.65pt" o:ole="">
                  <v:imagedata r:id="rId136" o:title=""/>
                </v:shape>
                <o:OLEObject Type="Embed" ProgID="Equation.DSMT4" ShapeID="_x0000_i1067" DrawAspect="Content" ObjectID="_1707118166" r:id="rId137"/>
              </w:object>
            </w:r>
          </w:p>
        </w:tc>
        <w:tc>
          <w:tcPr>
            <w:tcW w:w="646"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-0.009</w:t>
            </w:r>
          </w:p>
        </w:tc>
        <w:tc>
          <w:tcPr>
            <w:tcW w:w="73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-0.088</w:t>
            </w:r>
          </w:p>
        </w:tc>
        <w:tc>
          <w:tcPr>
            <w:tcW w:w="69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-0.002</w:t>
            </w:r>
          </w:p>
        </w:tc>
        <w:tc>
          <w:tcPr>
            <w:tcW w:w="734"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-0.000</w:t>
            </w:r>
          </w:p>
        </w:tc>
        <w:tc>
          <w:tcPr>
            <w:tcW w:w="634"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-0.020</w:t>
            </w:r>
          </w:p>
        </w:tc>
        <w:tc>
          <w:tcPr>
            <w:tcW w:w="660"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0.022</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0.569</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0.181</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-0.003</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-0.008</w:t>
            </w:r>
          </w:p>
        </w:tc>
      </w:tr>
      <w:tr w:rsidR="00222F36">
        <w:trPr>
          <w:trHeight w:val="320"/>
        </w:trPr>
        <w:tc>
          <w:tcPr>
            <w:tcW w:w="840" w:type="dxa"/>
            <w:tcBorders>
              <w:top w:val="nil"/>
              <w:left w:val="nil"/>
              <w:bottom w:val="nil"/>
              <w:right w:val="nil"/>
            </w:tcBorders>
          </w:tcPr>
          <w:p w:rsidR="00222F36" w:rsidRDefault="00222F36">
            <w:pPr>
              <w:spacing w:line="240" w:lineRule="auto"/>
              <w:jc w:val="center"/>
              <w:rPr>
                <w:color w:val="000000"/>
                <w:sz w:val="20"/>
                <w:szCs w:val="20"/>
              </w:rPr>
            </w:pPr>
          </w:p>
        </w:tc>
        <w:tc>
          <w:tcPr>
            <w:tcW w:w="646"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(0.006)</w:t>
            </w:r>
          </w:p>
        </w:tc>
        <w:tc>
          <w:tcPr>
            <w:tcW w:w="73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(0.017)</w:t>
            </w:r>
          </w:p>
        </w:tc>
        <w:tc>
          <w:tcPr>
            <w:tcW w:w="69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(0.004)</w:t>
            </w:r>
          </w:p>
        </w:tc>
        <w:tc>
          <w:tcPr>
            <w:tcW w:w="734"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(0.0021)</w:t>
            </w:r>
          </w:p>
        </w:tc>
        <w:tc>
          <w:tcPr>
            <w:tcW w:w="634"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(0.093)</w:t>
            </w:r>
          </w:p>
        </w:tc>
        <w:tc>
          <w:tcPr>
            <w:tcW w:w="660"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(0.093)</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(0.091)</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(0.058)</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(0.020)</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(0.018)</w:t>
            </w:r>
          </w:p>
        </w:tc>
      </w:tr>
      <w:tr w:rsidR="00222F36">
        <w:trPr>
          <w:trHeight w:val="320"/>
        </w:trPr>
        <w:tc>
          <w:tcPr>
            <w:tcW w:w="840" w:type="dxa"/>
            <w:tcBorders>
              <w:top w:val="nil"/>
              <w:left w:val="nil"/>
              <w:bottom w:val="nil"/>
              <w:right w:val="nil"/>
            </w:tcBorders>
          </w:tcPr>
          <w:p w:rsidR="00222F36" w:rsidRDefault="000B682F">
            <w:pPr>
              <w:spacing w:line="240" w:lineRule="auto"/>
              <w:jc w:val="center"/>
              <w:rPr>
                <w:color w:val="000000"/>
                <w:sz w:val="20"/>
                <w:szCs w:val="20"/>
              </w:rPr>
            </w:pPr>
            <w:r>
              <w:rPr>
                <w:color w:val="000000"/>
                <w:sz w:val="33"/>
                <w:szCs w:val="33"/>
                <w:vertAlign w:val="subscript"/>
              </w:rPr>
              <w:object w:dxaOrig="750" w:dyaOrig="300">
                <v:shape id="_x0000_i1068" type="#_x0000_t75" style="width:37.55pt;height:15.05pt" o:ole="">
                  <v:imagedata r:id="rId138" o:title=""/>
                </v:shape>
                <o:OLEObject Type="Embed" ProgID="Equation.DSMT4" ShapeID="_x0000_i1068" DrawAspect="Content" ObjectID="_1707118167" r:id="rId139"/>
              </w:object>
            </w:r>
          </w:p>
        </w:tc>
        <w:tc>
          <w:tcPr>
            <w:tcW w:w="646"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0.010</w:t>
            </w:r>
          </w:p>
        </w:tc>
        <w:tc>
          <w:tcPr>
            <w:tcW w:w="73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-0.015</w:t>
            </w:r>
          </w:p>
        </w:tc>
        <w:tc>
          <w:tcPr>
            <w:tcW w:w="69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-0.009</w:t>
            </w:r>
          </w:p>
        </w:tc>
        <w:tc>
          <w:tcPr>
            <w:tcW w:w="734"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-0.002</w:t>
            </w:r>
          </w:p>
        </w:tc>
        <w:tc>
          <w:tcPr>
            <w:tcW w:w="634"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0.066</w:t>
            </w:r>
          </w:p>
        </w:tc>
        <w:tc>
          <w:tcPr>
            <w:tcW w:w="660"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-0.072</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-0.040</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-0.080</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0.001</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0.016</w:t>
            </w:r>
          </w:p>
        </w:tc>
      </w:tr>
      <w:tr w:rsidR="00222F36">
        <w:trPr>
          <w:trHeight w:val="320"/>
        </w:trPr>
        <w:tc>
          <w:tcPr>
            <w:tcW w:w="840" w:type="dxa"/>
            <w:tcBorders>
              <w:top w:val="nil"/>
              <w:left w:val="nil"/>
              <w:bottom w:val="nil"/>
              <w:right w:val="nil"/>
            </w:tcBorders>
          </w:tcPr>
          <w:p w:rsidR="00222F36" w:rsidRDefault="00222F36">
            <w:pPr>
              <w:spacing w:line="240" w:lineRule="auto"/>
              <w:jc w:val="center"/>
              <w:rPr>
                <w:color w:val="000000"/>
                <w:sz w:val="20"/>
                <w:szCs w:val="20"/>
              </w:rPr>
            </w:pPr>
          </w:p>
        </w:tc>
        <w:tc>
          <w:tcPr>
            <w:tcW w:w="646"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(0.009)</w:t>
            </w:r>
          </w:p>
        </w:tc>
        <w:tc>
          <w:tcPr>
            <w:tcW w:w="73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(0.024)</w:t>
            </w:r>
          </w:p>
        </w:tc>
        <w:tc>
          <w:tcPr>
            <w:tcW w:w="69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(0.006)</w:t>
            </w:r>
          </w:p>
        </w:tc>
        <w:tc>
          <w:tcPr>
            <w:tcW w:w="734"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(0.003)</w:t>
            </w:r>
          </w:p>
        </w:tc>
        <w:tc>
          <w:tcPr>
            <w:tcW w:w="634"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(0.130)</w:t>
            </w:r>
          </w:p>
        </w:tc>
        <w:tc>
          <w:tcPr>
            <w:tcW w:w="660"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(0.130)</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(0.128)</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(0.081)</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(0.029)</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(0.025)</w:t>
            </w:r>
          </w:p>
        </w:tc>
      </w:tr>
      <w:tr w:rsidR="00222F36">
        <w:trPr>
          <w:trHeight w:val="320"/>
        </w:trPr>
        <w:tc>
          <w:tcPr>
            <w:tcW w:w="840" w:type="dxa"/>
            <w:tcBorders>
              <w:top w:val="nil"/>
              <w:left w:val="nil"/>
              <w:bottom w:val="nil"/>
              <w:right w:val="nil"/>
            </w:tcBorders>
          </w:tcPr>
          <w:p w:rsidR="00222F36" w:rsidRDefault="000B682F">
            <w:pPr>
              <w:spacing w:line="240" w:lineRule="auto"/>
              <w:jc w:val="center"/>
              <w:rPr>
                <w:color w:val="000000"/>
                <w:sz w:val="20"/>
                <w:szCs w:val="20"/>
              </w:rPr>
            </w:pPr>
            <w:r>
              <w:rPr>
                <w:color w:val="000000"/>
                <w:sz w:val="33"/>
                <w:szCs w:val="33"/>
                <w:vertAlign w:val="subscript"/>
              </w:rPr>
              <w:object w:dxaOrig="540" w:dyaOrig="310">
                <v:shape id="_x0000_i1069" type="#_x0000_t75" style="width:26.9pt;height:15.65pt" o:ole="">
                  <v:imagedata r:id="rId140" o:title=""/>
                </v:shape>
                <o:OLEObject Type="Embed" ProgID="Equation.DSMT4" ShapeID="_x0000_i1069" DrawAspect="Content" ObjectID="_1707118168" r:id="rId141"/>
              </w:object>
            </w:r>
          </w:p>
        </w:tc>
        <w:tc>
          <w:tcPr>
            <w:tcW w:w="646"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0.041</w:t>
            </w:r>
          </w:p>
        </w:tc>
        <w:tc>
          <w:tcPr>
            <w:tcW w:w="73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0.021</w:t>
            </w:r>
          </w:p>
        </w:tc>
        <w:tc>
          <w:tcPr>
            <w:tcW w:w="69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-0.009</w:t>
            </w:r>
          </w:p>
        </w:tc>
        <w:tc>
          <w:tcPr>
            <w:tcW w:w="734"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-0.005</w:t>
            </w:r>
          </w:p>
        </w:tc>
        <w:tc>
          <w:tcPr>
            <w:tcW w:w="634"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-0.069</w:t>
            </w:r>
          </w:p>
        </w:tc>
        <w:tc>
          <w:tcPr>
            <w:tcW w:w="660"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0.065</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-0.396</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-0.288</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-0.096</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-0.031</w:t>
            </w:r>
          </w:p>
        </w:tc>
      </w:tr>
      <w:tr w:rsidR="00222F36">
        <w:trPr>
          <w:trHeight w:val="320"/>
        </w:trPr>
        <w:tc>
          <w:tcPr>
            <w:tcW w:w="840" w:type="dxa"/>
            <w:tcBorders>
              <w:top w:val="nil"/>
              <w:left w:val="nil"/>
              <w:bottom w:val="nil"/>
              <w:right w:val="nil"/>
            </w:tcBorders>
          </w:tcPr>
          <w:p w:rsidR="00222F36" w:rsidRDefault="00222F36">
            <w:pPr>
              <w:spacing w:line="240" w:lineRule="auto"/>
              <w:jc w:val="center"/>
              <w:rPr>
                <w:color w:val="000000"/>
                <w:sz w:val="20"/>
                <w:szCs w:val="20"/>
              </w:rPr>
            </w:pPr>
          </w:p>
        </w:tc>
        <w:tc>
          <w:tcPr>
            <w:tcW w:w="646"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(0.027)</w:t>
            </w:r>
          </w:p>
        </w:tc>
        <w:tc>
          <w:tcPr>
            <w:tcW w:w="73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(0.069)</w:t>
            </w:r>
          </w:p>
        </w:tc>
        <w:tc>
          <w:tcPr>
            <w:tcW w:w="69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(0.019)</w:t>
            </w:r>
          </w:p>
        </w:tc>
        <w:tc>
          <w:tcPr>
            <w:tcW w:w="734"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(0.008)</w:t>
            </w:r>
          </w:p>
        </w:tc>
        <w:tc>
          <w:tcPr>
            <w:tcW w:w="634"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(0.369)</w:t>
            </w:r>
          </w:p>
        </w:tc>
        <w:tc>
          <w:tcPr>
            <w:tcW w:w="660"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(0.369)</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(0.363)</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(0.231)</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(0.082)</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(0.072)</w:t>
            </w:r>
          </w:p>
        </w:tc>
      </w:tr>
      <w:tr w:rsidR="00222F36">
        <w:trPr>
          <w:trHeight w:val="320"/>
        </w:trPr>
        <w:tc>
          <w:tcPr>
            <w:tcW w:w="840" w:type="dxa"/>
            <w:tcBorders>
              <w:top w:val="nil"/>
              <w:left w:val="nil"/>
              <w:bottom w:val="nil"/>
              <w:right w:val="nil"/>
            </w:tcBorders>
          </w:tcPr>
          <w:p w:rsidR="00222F36" w:rsidRDefault="000B682F">
            <w:pPr>
              <w:spacing w:line="240" w:lineRule="auto"/>
              <w:jc w:val="center"/>
              <w:rPr>
                <w:color w:val="000000"/>
                <w:sz w:val="20"/>
                <w:szCs w:val="20"/>
              </w:rPr>
            </w:pPr>
            <w:r>
              <w:rPr>
                <w:color w:val="000000"/>
                <w:sz w:val="33"/>
                <w:szCs w:val="33"/>
                <w:vertAlign w:val="subscript"/>
              </w:rPr>
              <w:object w:dxaOrig="540" w:dyaOrig="310">
                <v:shape id="_x0000_i1070" type="#_x0000_t75" style="width:26.9pt;height:15.65pt" o:ole="">
                  <v:imagedata r:id="rId142" o:title=""/>
                </v:shape>
                <o:OLEObject Type="Embed" ProgID="Equation.DSMT4" ShapeID="_x0000_i1070" DrawAspect="Content" ObjectID="_1707118169" r:id="rId143"/>
              </w:object>
            </w:r>
          </w:p>
        </w:tc>
        <w:tc>
          <w:tcPr>
            <w:tcW w:w="646"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-0.016</w:t>
            </w:r>
          </w:p>
        </w:tc>
        <w:tc>
          <w:tcPr>
            <w:tcW w:w="73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-0.028</w:t>
            </w:r>
          </w:p>
        </w:tc>
        <w:tc>
          <w:tcPr>
            <w:tcW w:w="69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-0.048</w:t>
            </w:r>
          </w:p>
        </w:tc>
        <w:tc>
          <w:tcPr>
            <w:tcW w:w="734"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0.003</w:t>
            </w:r>
          </w:p>
        </w:tc>
        <w:tc>
          <w:tcPr>
            <w:tcW w:w="634"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0.122</w:t>
            </w:r>
          </w:p>
        </w:tc>
        <w:tc>
          <w:tcPr>
            <w:tcW w:w="660"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-0.137</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0.428</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-0.516</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-0.218</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-0.107</w:t>
            </w:r>
          </w:p>
        </w:tc>
      </w:tr>
      <w:tr w:rsidR="00222F36">
        <w:trPr>
          <w:trHeight w:val="320"/>
        </w:trPr>
        <w:tc>
          <w:tcPr>
            <w:tcW w:w="840" w:type="dxa"/>
            <w:tcBorders>
              <w:top w:val="nil"/>
              <w:left w:val="nil"/>
              <w:bottom w:val="nil"/>
              <w:right w:val="nil"/>
            </w:tcBorders>
          </w:tcPr>
          <w:p w:rsidR="00222F36" w:rsidRDefault="00222F36">
            <w:pPr>
              <w:spacing w:line="240" w:lineRule="auto"/>
              <w:jc w:val="center"/>
              <w:rPr>
                <w:color w:val="000000"/>
                <w:sz w:val="20"/>
                <w:szCs w:val="20"/>
              </w:rPr>
            </w:pPr>
          </w:p>
        </w:tc>
        <w:tc>
          <w:tcPr>
            <w:tcW w:w="646"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(0.032)</w:t>
            </w:r>
          </w:p>
        </w:tc>
        <w:tc>
          <w:tcPr>
            <w:tcW w:w="73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(0.082)</w:t>
            </w:r>
          </w:p>
        </w:tc>
        <w:tc>
          <w:tcPr>
            <w:tcW w:w="69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(0.023)</w:t>
            </w:r>
          </w:p>
        </w:tc>
        <w:tc>
          <w:tcPr>
            <w:tcW w:w="734"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(0.010)</w:t>
            </w:r>
          </w:p>
        </w:tc>
        <w:tc>
          <w:tcPr>
            <w:tcW w:w="634"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(0.441)</w:t>
            </w:r>
          </w:p>
        </w:tc>
        <w:tc>
          <w:tcPr>
            <w:tcW w:w="660"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(0.441)</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(0.434)</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(0.276)</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(0.098)</w:t>
            </w:r>
          </w:p>
        </w:tc>
        <w:tc>
          <w:tcPr>
            <w:tcW w:w="661" w:type="dxa"/>
            <w:tcBorders>
              <w:top w:val="nil"/>
              <w:left w:val="nil"/>
              <w:bottom w:val="nil"/>
              <w:right w:val="nil"/>
            </w:tcBorders>
            <w:vAlign w:val="bottom"/>
          </w:tcPr>
          <w:p w:rsidR="00222F36" w:rsidRDefault="000B682F">
            <w:pPr>
              <w:spacing w:line="240" w:lineRule="auto"/>
              <w:jc w:val="center"/>
              <w:rPr>
                <w:color w:val="000000"/>
                <w:sz w:val="20"/>
                <w:szCs w:val="20"/>
              </w:rPr>
            </w:pPr>
            <w:r>
              <w:rPr>
                <w:color w:val="000000"/>
                <w:sz w:val="20"/>
                <w:szCs w:val="20"/>
              </w:rPr>
              <w:t> (0.087)</w:t>
            </w:r>
          </w:p>
        </w:tc>
      </w:tr>
      <w:tr w:rsidR="00222F36">
        <w:trPr>
          <w:trHeight w:val="320"/>
        </w:trPr>
        <w:tc>
          <w:tcPr>
            <w:tcW w:w="840" w:type="dxa"/>
            <w:tcBorders>
              <w:top w:val="nil"/>
              <w:left w:val="nil"/>
              <w:right w:val="nil"/>
            </w:tcBorders>
          </w:tcPr>
          <w:p w:rsidR="00222F36" w:rsidRDefault="000B682F">
            <w:pPr>
              <w:spacing w:line="240" w:lineRule="auto"/>
              <w:jc w:val="center"/>
              <w:rPr>
                <w:color w:val="000000"/>
                <w:sz w:val="20"/>
                <w:szCs w:val="20"/>
              </w:rPr>
            </w:pPr>
            <w:r>
              <w:rPr>
                <w:i/>
                <w:color w:val="000000"/>
                <w:sz w:val="20"/>
                <w:szCs w:val="20"/>
              </w:rPr>
              <w:t>Constant</w:t>
            </w:r>
          </w:p>
        </w:tc>
        <w:tc>
          <w:tcPr>
            <w:tcW w:w="646" w:type="dxa"/>
            <w:tcBorders>
              <w:top w:val="nil"/>
              <w:left w:val="nil"/>
              <w:right w:val="nil"/>
            </w:tcBorders>
            <w:vAlign w:val="bottom"/>
          </w:tcPr>
          <w:p w:rsidR="00222F36" w:rsidRDefault="000B682F">
            <w:pPr>
              <w:spacing w:line="240" w:lineRule="auto"/>
              <w:jc w:val="center"/>
              <w:rPr>
                <w:color w:val="000000"/>
                <w:sz w:val="20"/>
                <w:szCs w:val="20"/>
              </w:rPr>
            </w:pPr>
            <w:r>
              <w:rPr>
                <w:color w:val="000000"/>
                <w:sz w:val="20"/>
                <w:szCs w:val="20"/>
              </w:rPr>
              <w:t>-0.000</w:t>
            </w:r>
          </w:p>
        </w:tc>
        <w:tc>
          <w:tcPr>
            <w:tcW w:w="731" w:type="dxa"/>
            <w:tcBorders>
              <w:top w:val="nil"/>
              <w:left w:val="nil"/>
              <w:right w:val="nil"/>
            </w:tcBorders>
            <w:vAlign w:val="bottom"/>
          </w:tcPr>
          <w:p w:rsidR="00222F36" w:rsidRDefault="000B682F">
            <w:pPr>
              <w:spacing w:line="240" w:lineRule="auto"/>
              <w:jc w:val="center"/>
              <w:rPr>
                <w:color w:val="000000"/>
                <w:sz w:val="20"/>
                <w:szCs w:val="20"/>
              </w:rPr>
            </w:pPr>
            <w:r>
              <w:rPr>
                <w:color w:val="000000"/>
                <w:sz w:val="20"/>
                <w:szCs w:val="20"/>
              </w:rPr>
              <w:t> 0.003</w:t>
            </w:r>
          </w:p>
        </w:tc>
        <w:tc>
          <w:tcPr>
            <w:tcW w:w="691" w:type="dxa"/>
            <w:tcBorders>
              <w:top w:val="nil"/>
              <w:left w:val="nil"/>
              <w:right w:val="nil"/>
            </w:tcBorders>
            <w:vAlign w:val="bottom"/>
          </w:tcPr>
          <w:p w:rsidR="00222F36" w:rsidRDefault="000B682F">
            <w:pPr>
              <w:spacing w:line="240" w:lineRule="auto"/>
              <w:jc w:val="center"/>
              <w:rPr>
                <w:color w:val="000000"/>
                <w:sz w:val="20"/>
                <w:szCs w:val="20"/>
              </w:rPr>
            </w:pPr>
            <w:r>
              <w:rPr>
                <w:color w:val="000000"/>
                <w:sz w:val="20"/>
                <w:szCs w:val="20"/>
              </w:rPr>
              <w:t>-0.000</w:t>
            </w:r>
          </w:p>
        </w:tc>
        <w:tc>
          <w:tcPr>
            <w:tcW w:w="734" w:type="dxa"/>
            <w:tcBorders>
              <w:top w:val="nil"/>
              <w:left w:val="nil"/>
              <w:right w:val="nil"/>
            </w:tcBorders>
            <w:vAlign w:val="bottom"/>
          </w:tcPr>
          <w:p w:rsidR="00222F36" w:rsidRDefault="000B682F">
            <w:pPr>
              <w:spacing w:line="240" w:lineRule="auto"/>
              <w:jc w:val="center"/>
              <w:rPr>
                <w:color w:val="000000"/>
                <w:sz w:val="20"/>
                <w:szCs w:val="20"/>
              </w:rPr>
            </w:pPr>
            <w:r>
              <w:rPr>
                <w:color w:val="000000"/>
                <w:sz w:val="20"/>
                <w:szCs w:val="20"/>
              </w:rPr>
              <w:t>-0.002</w:t>
            </w:r>
          </w:p>
        </w:tc>
        <w:tc>
          <w:tcPr>
            <w:tcW w:w="634" w:type="dxa"/>
            <w:tcBorders>
              <w:top w:val="nil"/>
              <w:left w:val="nil"/>
              <w:right w:val="nil"/>
            </w:tcBorders>
            <w:vAlign w:val="bottom"/>
          </w:tcPr>
          <w:p w:rsidR="00222F36" w:rsidRDefault="000B682F">
            <w:pPr>
              <w:spacing w:line="240" w:lineRule="auto"/>
              <w:jc w:val="center"/>
              <w:rPr>
                <w:color w:val="000000"/>
                <w:sz w:val="20"/>
                <w:szCs w:val="20"/>
              </w:rPr>
            </w:pPr>
            <w:r>
              <w:rPr>
                <w:color w:val="000000"/>
                <w:sz w:val="20"/>
                <w:szCs w:val="20"/>
              </w:rPr>
              <w:t>-0.002</w:t>
            </w:r>
          </w:p>
        </w:tc>
        <w:tc>
          <w:tcPr>
            <w:tcW w:w="660" w:type="dxa"/>
            <w:tcBorders>
              <w:top w:val="nil"/>
              <w:left w:val="nil"/>
              <w:right w:val="nil"/>
            </w:tcBorders>
            <w:vAlign w:val="bottom"/>
          </w:tcPr>
          <w:p w:rsidR="00222F36" w:rsidRDefault="000B682F">
            <w:pPr>
              <w:spacing w:line="240" w:lineRule="auto"/>
              <w:jc w:val="center"/>
              <w:rPr>
                <w:color w:val="000000"/>
                <w:sz w:val="20"/>
                <w:szCs w:val="20"/>
              </w:rPr>
            </w:pPr>
            <w:r>
              <w:rPr>
                <w:color w:val="000000"/>
                <w:sz w:val="20"/>
                <w:szCs w:val="20"/>
              </w:rPr>
              <w:t> 0.000</w:t>
            </w:r>
          </w:p>
        </w:tc>
        <w:tc>
          <w:tcPr>
            <w:tcW w:w="661" w:type="dxa"/>
            <w:tcBorders>
              <w:top w:val="nil"/>
              <w:left w:val="nil"/>
              <w:right w:val="nil"/>
            </w:tcBorders>
            <w:vAlign w:val="bottom"/>
          </w:tcPr>
          <w:p w:rsidR="00222F36" w:rsidRDefault="000B682F">
            <w:pPr>
              <w:spacing w:line="240" w:lineRule="auto"/>
              <w:jc w:val="center"/>
              <w:rPr>
                <w:color w:val="000000"/>
                <w:sz w:val="20"/>
                <w:szCs w:val="20"/>
              </w:rPr>
            </w:pPr>
            <w:r>
              <w:rPr>
                <w:color w:val="000000"/>
                <w:sz w:val="20"/>
                <w:szCs w:val="20"/>
              </w:rPr>
              <w:t> 0.017</w:t>
            </w:r>
          </w:p>
        </w:tc>
        <w:tc>
          <w:tcPr>
            <w:tcW w:w="661" w:type="dxa"/>
            <w:tcBorders>
              <w:top w:val="nil"/>
              <w:left w:val="nil"/>
              <w:right w:val="nil"/>
            </w:tcBorders>
            <w:vAlign w:val="bottom"/>
          </w:tcPr>
          <w:p w:rsidR="00222F36" w:rsidRDefault="000B682F">
            <w:pPr>
              <w:spacing w:line="240" w:lineRule="auto"/>
              <w:jc w:val="center"/>
              <w:rPr>
                <w:color w:val="000000"/>
                <w:sz w:val="20"/>
                <w:szCs w:val="20"/>
              </w:rPr>
            </w:pPr>
            <w:r>
              <w:rPr>
                <w:color w:val="000000"/>
                <w:sz w:val="20"/>
                <w:szCs w:val="20"/>
              </w:rPr>
              <w:t> 0.000</w:t>
            </w:r>
          </w:p>
        </w:tc>
        <w:tc>
          <w:tcPr>
            <w:tcW w:w="661" w:type="dxa"/>
            <w:tcBorders>
              <w:top w:val="nil"/>
              <w:left w:val="nil"/>
              <w:right w:val="nil"/>
            </w:tcBorders>
            <w:vAlign w:val="bottom"/>
          </w:tcPr>
          <w:p w:rsidR="00222F36" w:rsidRDefault="000B682F">
            <w:pPr>
              <w:spacing w:line="240" w:lineRule="auto"/>
              <w:jc w:val="center"/>
              <w:rPr>
                <w:color w:val="000000"/>
                <w:sz w:val="20"/>
                <w:szCs w:val="20"/>
              </w:rPr>
            </w:pPr>
            <w:r>
              <w:rPr>
                <w:color w:val="000000"/>
                <w:sz w:val="20"/>
                <w:szCs w:val="20"/>
              </w:rPr>
              <w:t> 0.006</w:t>
            </w:r>
          </w:p>
        </w:tc>
        <w:tc>
          <w:tcPr>
            <w:tcW w:w="661" w:type="dxa"/>
            <w:tcBorders>
              <w:top w:val="nil"/>
              <w:left w:val="nil"/>
              <w:right w:val="nil"/>
            </w:tcBorders>
            <w:vAlign w:val="bottom"/>
          </w:tcPr>
          <w:p w:rsidR="00222F36" w:rsidRDefault="000B682F">
            <w:pPr>
              <w:spacing w:line="240" w:lineRule="auto"/>
              <w:jc w:val="center"/>
              <w:rPr>
                <w:color w:val="000000"/>
                <w:sz w:val="20"/>
                <w:szCs w:val="20"/>
              </w:rPr>
            </w:pPr>
            <w:r>
              <w:rPr>
                <w:color w:val="000000"/>
                <w:sz w:val="20"/>
                <w:szCs w:val="20"/>
              </w:rPr>
              <w:t>-0.006</w:t>
            </w:r>
          </w:p>
        </w:tc>
      </w:tr>
      <w:tr w:rsidR="00222F36">
        <w:trPr>
          <w:trHeight w:val="320"/>
        </w:trPr>
        <w:tc>
          <w:tcPr>
            <w:tcW w:w="840" w:type="dxa"/>
            <w:tcBorders>
              <w:top w:val="nil"/>
              <w:left w:val="nil"/>
              <w:bottom w:val="single" w:sz="4" w:space="0" w:color="000000"/>
              <w:right w:val="nil"/>
            </w:tcBorders>
          </w:tcPr>
          <w:p w:rsidR="00222F36" w:rsidRDefault="00222F36">
            <w:pPr>
              <w:spacing w:line="240" w:lineRule="auto"/>
              <w:jc w:val="center"/>
              <w:rPr>
                <w:color w:val="000000"/>
                <w:sz w:val="20"/>
                <w:szCs w:val="20"/>
              </w:rPr>
            </w:pPr>
          </w:p>
        </w:tc>
        <w:tc>
          <w:tcPr>
            <w:tcW w:w="646" w:type="dxa"/>
            <w:tcBorders>
              <w:top w:val="nil"/>
              <w:left w:val="nil"/>
              <w:bottom w:val="single" w:sz="4" w:space="0" w:color="000000"/>
              <w:right w:val="nil"/>
            </w:tcBorders>
            <w:vAlign w:val="bottom"/>
          </w:tcPr>
          <w:p w:rsidR="00222F36" w:rsidRDefault="000B682F">
            <w:pPr>
              <w:spacing w:line="240" w:lineRule="auto"/>
              <w:jc w:val="center"/>
              <w:rPr>
                <w:color w:val="000000"/>
                <w:sz w:val="20"/>
                <w:szCs w:val="20"/>
              </w:rPr>
            </w:pPr>
            <w:r>
              <w:rPr>
                <w:color w:val="000000"/>
                <w:sz w:val="20"/>
                <w:szCs w:val="20"/>
              </w:rPr>
              <w:t> (0.002)</w:t>
            </w:r>
          </w:p>
        </w:tc>
        <w:tc>
          <w:tcPr>
            <w:tcW w:w="731" w:type="dxa"/>
            <w:tcBorders>
              <w:top w:val="nil"/>
              <w:left w:val="nil"/>
              <w:bottom w:val="single" w:sz="4" w:space="0" w:color="000000"/>
              <w:right w:val="nil"/>
            </w:tcBorders>
            <w:vAlign w:val="bottom"/>
          </w:tcPr>
          <w:p w:rsidR="00222F36" w:rsidRDefault="000B682F">
            <w:pPr>
              <w:spacing w:line="240" w:lineRule="auto"/>
              <w:jc w:val="center"/>
              <w:rPr>
                <w:color w:val="000000"/>
                <w:sz w:val="20"/>
                <w:szCs w:val="20"/>
              </w:rPr>
            </w:pPr>
            <w:r>
              <w:rPr>
                <w:color w:val="000000"/>
                <w:sz w:val="20"/>
                <w:szCs w:val="20"/>
              </w:rPr>
              <w:t> (0.005)</w:t>
            </w:r>
          </w:p>
        </w:tc>
        <w:tc>
          <w:tcPr>
            <w:tcW w:w="691" w:type="dxa"/>
            <w:tcBorders>
              <w:top w:val="nil"/>
              <w:left w:val="nil"/>
              <w:bottom w:val="single" w:sz="4" w:space="0" w:color="000000"/>
              <w:right w:val="nil"/>
            </w:tcBorders>
            <w:vAlign w:val="bottom"/>
          </w:tcPr>
          <w:p w:rsidR="00222F36" w:rsidRDefault="000B682F">
            <w:pPr>
              <w:spacing w:line="240" w:lineRule="auto"/>
              <w:jc w:val="center"/>
              <w:rPr>
                <w:color w:val="000000"/>
                <w:sz w:val="20"/>
                <w:szCs w:val="20"/>
              </w:rPr>
            </w:pPr>
            <w:r>
              <w:rPr>
                <w:color w:val="000000"/>
                <w:sz w:val="20"/>
                <w:szCs w:val="20"/>
              </w:rPr>
              <w:t> (0.001)</w:t>
            </w:r>
          </w:p>
        </w:tc>
        <w:tc>
          <w:tcPr>
            <w:tcW w:w="734" w:type="dxa"/>
            <w:tcBorders>
              <w:top w:val="nil"/>
              <w:left w:val="nil"/>
              <w:bottom w:val="single" w:sz="4" w:space="0" w:color="000000"/>
              <w:right w:val="nil"/>
            </w:tcBorders>
            <w:vAlign w:val="bottom"/>
          </w:tcPr>
          <w:p w:rsidR="00222F36" w:rsidRDefault="000B682F">
            <w:pPr>
              <w:spacing w:line="240" w:lineRule="auto"/>
              <w:jc w:val="center"/>
              <w:rPr>
                <w:color w:val="000000"/>
                <w:sz w:val="20"/>
                <w:szCs w:val="20"/>
              </w:rPr>
            </w:pPr>
            <w:r>
              <w:rPr>
                <w:color w:val="000000"/>
                <w:sz w:val="20"/>
                <w:szCs w:val="20"/>
              </w:rPr>
              <w:t> (0.000)</w:t>
            </w:r>
          </w:p>
        </w:tc>
        <w:tc>
          <w:tcPr>
            <w:tcW w:w="634" w:type="dxa"/>
            <w:tcBorders>
              <w:top w:val="nil"/>
              <w:left w:val="nil"/>
              <w:bottom w:val="single" w:sz="4" w:space="0" w:color="000000"/>
              <w:right w:val="nil"/>
            </w:tcBorders>
            <w:vAlign w:val="bottom"/>
          </w:tcPr>
          <w:p w:rsidR="00222F36" w:rsidRDefault="000B682F">
            <w:pPr>
              <w:spacing w:line="240" w:lineRule="auto"/>
              <w:jc w:val="center"/>
              <w:rPr>
                <w:color w:val="000000"/>
                <w:sz w:val="20"/>
                <w:szCs w:val="20"/>
              </w:rPr>
            </w:pPr>
            <w:r>
              <w:rPr>
                <w:color w:val="000000"/>
                <w:sz w:val="20"/>
                <w:szCs w:val="20"/>
              </w:rPr>
              <w:t> (0.029)</w:t>
            </w:r>
          </w:p>
        </w:tc>
        <w:tc>
          <w:tcPr>
            <w:tcW w:w="660" w:type="dxa"/>
            <w:tcBorders>
              <w:top w:val="nil"/>
              <w:left w:val="nil"/>
              <w:bottom w:val="single" w:sz="4" w:space="0" w:color="000000"/>
              <w:right w:val="nil"/>
            </w:tcBorders>
            <w:vAlign w:val="bottom"/>
          </w:tcPr>
          <w:p w:rsidR="00222F36" w:rsidRDefault="000B682F">
            <w:pPr>
              <w:spacing w:line="240" w:lineRule="auto"/>
              <w:jc w:val="center"/>
              <w:rPr>
                <w:color w:val="000000"/>
                <w:sz w:val="20"/>
                <w:szCs w:val="20"/>
              </w:rPr>
            </w:pPr>
            <w:r>
              <w:rPr>
                <w:color w:val="000000"/>
                <w:sz w:val="20"/>
                <w:szCs w:val="20"/>
              </w:rPr>
              <w:t> (0.029)</w:t>
            </w:r>
          </w:p>
        </w:tc>
        <w:tc>
          <w:tcPr>
            <w:tcW w:w="661" w:type="dxa"/>
            <w:tcBorders>
              <w:top w:val="nil"/>
              <w:left w:val="nil"/>
              <w:bottom w:val="single" w:sz="4" w:space="0" w:color="000000"/>
              <w:right w:val="nil"/>
            </w:tcBorders>
            <w:vAlign w:val="bottom"/>
          </w:tcPr>
          <w:p w:rsidR="00222F36" w:rsidRDefault="000B682F">
            <w:pPr>
              <w:spacing w:line="240" w:lineRule="auto"/>
              <w:jc w:val="center"/>
              <w:rPr>
                <w:color w:val="000000"/>
                <w:sz w:val="20"/>
                <w:szCs w:val="20"/>
              </w:rPr>
            </w:pPr>
            <w:r>
              <w:rPr>
                <w:color w:val="000000"/>
                <w:sz w:val="20"/>
                <w:szCs w:val="20"/>
              </w:rPr>
              <w:t> (0.029)</w:t>
            </w:r>
          </w:p>
        </w:tc>
        <w:tc>
          <w:tcPr>
            <w:tcW w:w="661" w:type="dxa"/>
            <w:tcBorders>
              <w:top w:val="nil"/>
              <w:left w:val="nil"/>
              <w:bottom w:val="single" w:sz="4" w:space="0" w:color="000000"/>
              <w:right w:val="nil"/>
            </w:tcBorders>
            <w:vAlign w:val="bottom"/>
          </w:tcPr>
          <w:p w:rsidR="00222F36" w:rsidRDefault="000B682F">
            <w:pPr>
              <w:spacing w:line="240" w:lineRule="auto"/>
              <w:jc w:val="center"/>
              <w:rPr>
                <w:color w:val="000000"/>
                <w:sz w:val="20"/>
                <w:szCs w:val="20"/>
              </w:rPr>
            </w:pPr>
            <w:r>
              <w:rPr>
                <w:color w:val="000000"/>
                <w:sz w:val="20"/>
                <w:szCs w:val="20"/>
              </w:rPr>
              <w:t> (0.018)</w:t>
            </w:r>
          </w:p>
        </w:tc>
        <w:tc>
          <w:tcPr>
            <w:tcW w:w="661" w:type="dxa"/>
            <w:tcBorders>
              <w:top w:val="nil"/>
              <w:left w:val="nil"/>
              <w:bottom w:val="single" w:sz="4" w:space="0" w:color="000000"/>
              <w:right w:val="nil"/>
            </w:tcBorders>
            <w:vAlign w:val="bottom"/>
          </w:tcPr>
          <w:p w:rsidR="00222F36" w:rsidRDefault="000B682F">
            <w:pPr>
              <w:spacing w:line="240" w:lineRule="auto"/>
              <w:jc w:val="center"/>
              <w:rPr>
                <w:color w:val="000000"/>
                <w:sz w:val="20"/>
                <w:szCs w:val="20"/>
              </w:rPr>
            </w:pPr>
            <w:r>
              <w:rPr>
                <w:color w:val="000000"/>
                <w:sz w:val="20"/>
                <w:szCs w:val="20"/>
              </w:rPr>
              <w:t> (0.006)</w:t>
            </w:r>
          </w:p>
        </w:tc>
        <w:tc>
          <w:tcPr>
            <w:tcW w:w="661" w:type="dxa"/>
            <w:tcBorders>
              <w:top w:val="nil"/>
              <w:left w:val="nil"/>
              <w:bottom w:val="single" w:sz="4" w:space="0" w:color="000000"/>
              <w:right w:val="nil"/>
            </w:tcBorders>
            <w:vAlign w:val="bottom"/>
          </w:tcPr>
          <w:p w:rsidR="00222F36" w:rsidRDefault="000B682F">
            <w:pPr>
              <w:spacing w:line="240" w:lineRule="auto"/>
              <w:jc w:val="center"/>
              <w:rPr>
                <w:color w:val="000000"/>
                <w:sz w:val="20"/>
                <w:szCs w:val="20"/>
              </w:rPr>
            </w:pPr>
            <w:r>
              <w:rPr>
                <w:color w:val="000000"/>
                <w:sz w:val="20"/>
                <w:szCs w:val="20"/>
              </w:rPr>
              <w:t> (0.005)</w:t>
            </w:r>
          </w:p>
        </w:tc>
      </w:tr>
      <w:tr w:rsidR="00222F36">
        <w:trPr>
          <w:trHeight w:val="320"/>
        </w:trPr>
        <w:tc>
          <w:tcPr>
            <w:tcW w:w="840" w:type="dxa"/>
            <w:tcBorders>
              <w:top w:val="single" w:sz="4" w:space="0" w:color="000000"/>
              <w:left w:val="nil"/>
              <w:right w:val="nil"/>
            </w:tcBorders>
          </w:tcPr>
          <w:p w:rsidR="00222F36" w:rsidRDefault="000B682F">
            <w:pPr>
              <w:spacing w:line="240" w:lineRule="auto"/>
              <w:jc w:val="center"/>
              <w:rPr>
                <w:color w:val="000000"/>
                <w:sz w:val="20"/>
                <w:szCs w:val="20"/>
              </w:rPr>
            </w:pPr>
            <w:r>
              <w:rPr>
                <w:color w:val="000000"/>
                <w:sz w:val="20"/>
                <w:szCs w:val="20"/>
              </w:rPr>
              <w:object w:dxaOrig="280" w:dyaOrig="260">
                <v:shape id="_x0000_i1071" type="#_x0000_t75" style="width:13.75pt;height:13.15pt" o:ole="">
                  <v:imagedata r:id="rId144" o:title=""/>
                </v:shape>
                <o:OLEObject Type="Embed" ProgID="Equation.DSMT4" ShapeID="_x0000_i1071" DrawAspect="Content" ObjectID="_1707118170" r:id="rId145"/>
              </w:object>
            </w:r>
          </w:p>
        </w:tc>
        <w:tc>
          <w:tcPr>
            <w:tcW w:w="646" w:type="dxa"/>
            <w:tcBorders>
              <w:top w:val="single" w:sz="4" w:space="0" w:color="000000"/>
              <w:left w:val="nil"/>
              <w:right w:val="nil"/>
            </w:tcBorders>
            <w:vAlign w:val="bottom"/>
          </w:tcPr>
          <w:p w:rsidR="00222F36" w:rsidRDefault="000B682F">
            <w:pPr>
              <w:spacing w:line="240" w:lineRule="auto"/>
              <w:jc w:val="center"/>
              <w:rPr>
                <w:color w:val="000000"/>
                <w:sz w:val="20"/>
                <w:szCs w:val="20"/>
              </w:rPr>
            </w:pPr>
            <w:r>
              <w:rPr>
                <w:color w:val="000000"/>
                <w:sz w:val="20"/>
                <w:szCs w:val="20"/>
              </w:rPr>
              <w:t> 0.506</w:t>
            </w:r>
          </w:p>
        </w:tc>
        <w:tc>
          <w:tcPr>
            <w:tcW w:w="731" w:type="dxa"/>
            <w:tcBorders>
              <w:top w:val="single" w:sz="4" w:space="0" w:color="000000"/>
              <w:left w:val="nil"/>
              <w:right w:val="nil"/>
            </w:tcBorders>
            <w:vAlign w:val="bottom"/>
          </w:tcPr>
          <w:p w:rsidR="00222F36" w:rsidRDefault="000B682F">
            <w:pPr>
              <w:spacing w:line="240" w:lineRule="auto"/>
              <w:jc w:val="center"/>
              <w:rPr>
                <w:color w:val="000000"/>
                <w:sz w:val="20"/>
                <w:szCs w:val="20"/>
              </w:rPr>
            </w:pPr>
            <w:r>
              <w:rPr>
                <w:color w:val="000000"/>
                <w:sz w:val="20"/>
                <w:szCs w:val="20"/>
              </w:rPr>
              <w:t> 0.344</w:t>
            </w:r>
          </w:p>
        </w:tc>
        <w:tc>
          <w:tcPr>
            <w:tcW w:w="691" w:type="dxa"/>
            <w:tcBorders>
              <w:top w:val="single" w:sz="4" w:space="0" w:color="000000"/>
              <w:left w:val="nil"/>
              <w:right w:val="nil"/>
            </w:tcBorders>
            <w:vAlign w:val="bottom"/>
          </w:tcPr>
          <w:p w:rsidR="00222F36" w:rsidRDefault="000B682F">
            <w:pPr>
              <w:spacing w:line="240" w:lineRule="auto"/>
              <w:jc w:val="center"/>
              <w:rPr>
                <w:color w:val="000000"/>
                <w:sz w:val="20"/>
                <w:szCs w:val="20"/>
              </w:rPr>
            </w:pPr>
            <w:r>
              <w:rPr>
                <w:color w:val="000000"/>
                <w:sz w:val="20"/>
                <w:szCs w:val="20"/>
              </w:rPr>
              <w:t> 0.476</w:t>
            </w:r>
          </w:p>
        </w:tc>
        <w:tc>
          <w:tcPr>
            <w:tcW w:w="734" w:type="dxa"/>
            <w:tcBorders>
              <w:top w:val="single" w:sz="4" w:space="0" w:color="000000"/>
              <w:left w:val="nil"/>
              <w:right w:val="nil"/>
            </w:tcBorders>
            <w:vAlign w:val="bottom"/>
          </w:tcPr>
          <w:p w:rsidR="00222F36" w:rsidRDefault="000B682F">
            <w:pPr>
              <w:spacing w:line="240" w:lineRule="auto"/>
              <w:jc w:val="center"/>
              <w:rPr>
                <w:color w:val="000000"/>
                <w:sz w:val="20"/>
                <w:szCs w:val="20"/>
              </w:rPr>
            </w:pPr>
            <w:r>
              <w:rPr>
                <w:color w:val="000000"/>
                <w:sz w:val="20"/>
                <w:szCs w:val="20"/>
              </w:rPr>
              <w:t> 0.320</w:t>
            </w:r>
          </w:p>
        </w:tc>
        <w:tc>
          <w:tcPr>
            <w:tcW w:w="634" w:type="dxa"/>
            <w:tcBorders>
              <w:top w:val="single" w:sz="4" w:space="0" w:color="000000"/>
              <w:left w:val="nil"/>
              <w:right w:val="nil"/>
            </w:tcBorders>
            <w:vAlign w:val="bottom"/>
          </w:tcPr>
          <w:p w:rsidR="00222F36" w:rsidRDefault="000B682F">
            <w:pPr>
              <w:spacing w:line="240" w:lineRule="auto"/>
              <w:jc w:val="center"/>
              <w:rPr>
                <w:color w:val="000000"/>
                <w:sz w:val="20"/>
                <w:szCs w:val="20"/>
              </w:rPr>
            </w:pPr>
            <w:r>
              <w:rPr>
                <w:color w:val="000000"/>
                <w:sz w:val="20"/>
                <w:szCs w:val="20"/>
              </w:rPr>
              <w:t> 0.068</w:t>
            </w:r>
          </w:p>
        </w:tc>
        <w:tc>
          <w:tcPr>
            <w:tcW w:w="660" w:type="dxa"/>
            <w:tcBorders>
              <w:top w:val="single" w:sz="4" w:space="0" w:color="000000"/>
              <w:left w:val="nil"/>
              <w:right w:val="nil"/>
            </w:tcBorders>
            <w:vAlign w:val="bottom"/>
          </w:tcPr>
          <w:p w:rsidR="00222F36" w:rsidRDefault="000B682F">
            <w:pPr>
              <w:spacing w:line="240" w:lineRule="auto"/>
              <w:jc w:val="center"/>
              <w:rPr>
                <w:color w:val="000000"/>
                <w:sz w:val="20"/>
                <w:szCs w:val="20"/>
              </w:rPr>
            </w:pPr>
            <w:r>
              <w:rPr>
                <w:color w:val="000000"/>
                <w:sz w:val="20"/>
                <w:szCs w:val="20"/>
              </w:rPr>
              <w:t> 0.050</w:t>
            </w:r>
          </w:p>
        </w:tc>
        <w:tc>
          <w:tcPr>
            <w:tcW w:w="661" w:type="dxa"/>
            <w:tcBorders>
              <w:top w:val="single" w:sz="4" w:space="0" w:color="000000"/>
              <w:left w:val="nil"/>
              <w:right w:val="nil"/>
            </w:tcBorders>
            <w:vAlign w:val="bottom"/>
          </w:tcPr>
          <w:p w:rsidR="00222F36" w:rsidRDefault="000B682F">
            <w:pPr>
              <w:spacing w:line="240" w:lineRule="auto"/>
              <w:jc w:val="center"/>
              <w:rPr>
                <w:color w:val="000000"/>
                <w:sz w:val="20"/>
                <w:szCs w:val="20"/>
              </w:rPr>
            </w:pPr>
            <w:r>
              <w:rPr>
                <w:color w:val="000000"/>
                <w:sz w:val="20"/>
                <w:szCs w:val="20"/>
              </w:rPr>
              <w:t> 0.358</w:t>
            </w:r>
          </w:p>
        </w:tc>
        <w:tc>
          <w:tcPr>
            <w:tcW w:w="661" w:type="dxa"/>
            <w:tcBorders>
              <w:top w:val="single" w:sz="4" w:space="0" w:color="000000"/>
              <w:left w:val="nil"/>
              <w:right w:val="nil"/>
            </w:tcBorders>
            <w:vAlign w:val="bottom"/>
          </w:tcPr>
          <w:p w:rsidR="00222F36" w:rsidRDefault="000B682F">
            <w:pPr>
              <w:spacing w:line="240" w:lineRule="auto"/>
              <w:jc w:val="center"/>
              <w:rPr>
                <w:color w:val="000000"/>
                <w:sz w:val="20"/>
                <w:szCs w:val="20"/>
              </w:rPr>
            </w:pPr>
            <w:r>
              <w:rPr>
                <w:color w:val="000000"/>
                <w:sz w:val="20"/>
                <w:szCs w:val="20"/>
              </w:rPr>
              <w:t> 0.420</w:t>
            </w:r>
          </w:p>
        </w:tc>
        <w:tc>
          <w:tcPr>
            <w:tcW w:w="661" w:type="dxa"/>
            <w:tcBorders>
              <w:top w:val="single" w:sz="4" w:space="0" w:color="000000"/>
              <w:left w:val="nil"/>
              <w:right w:val="nil"/>
            </w:tcBorders>
            <w:vAlign w:val="bottom"/>
          </w:tcPr>
          <w:p w:rsidR="00222F36" w:rsidRDefault="000B682F">
            <w:pPr>
              <w:spacing w:line="240" w:lineRule="auto"/>
              <w:jc w:val="center"/>
              <w:rPr>
                <w:color w:val="000000"/>
                <w:sz w:val="20"/>
                <w:szCs w:val="20"/>
              </w:rPr>
            </w:pPr>
            <w:r>
              <w:rPr>
                <w:color w:val="000000"/>
                <w:sz w:val="20"/>
                <w:szCs w:val="20"/>
              </w:rPr>
              <w:t> 0.198</w:t>
            </w:r>
          </w:p>
        </w:tc>
        <w:tc>
          <w:tcPr>
            <w:tcW w:w="661" w:type="dxa"/>
            <w:tcBorders>
              <w:top w:val="single" w:sz="4" w:space="0" w:color="000000"/>
              <w:left w:val="nil"/>
              <w:right w:val="nil"/>
            </w:tcBorders>
            <w:vAlign w:val="bottom"/>
          </w:tcPr>
          <w:p w:rsidR="00222F36" w:rsidRDefault="000B682F">
            <w:pPr>
              <w:spacing w:line="240" w:lineRule="auto"/>
              <w:jc w:val="center"/>
              <w:rPr>
                <w:color w:val="000000"/>
                <w:sz w:val="20"/>
                <w:szCs w:val="20"/>
              </w:rPr>
            </w:pPr>
            <w:r>
              <w:rPr>
                <w:color w:val="000000"/>
                <w:sz w:val="20"/>
                <w:szCs w:val="20"/>
              </w:rPr>
              <w:t> 0.205</w:t>
            </w:r>
          </w:p>
        </w:tc>
      </w:tr>
      <w:tr w:rsidR="00222F36">
        <w:trPr>
          <w:trHeight w:val="320"/>
        </w:trPr>
        <w:tc>
          <w:tcPr>
            <w:tcW w:w="840" w:type="dxa"/>
            <w:tcBorders>
              <w:top w:val="nil"/>
              <w:left w:val="nil"/>
              <w:bottom w:val="single" w:sz="4" w:space="0" w:color="000000"/>
              <w:right w:val="nil"/>
            </w:tcBorders>
          </w:tcPr>
          <w:p w:rsidR="00222F36" w:rsidRDefault="000B682F">
            <w:pPr>
              <w:spacing w:line="240" w:lineRule="auto"/>
              <w:jc w:val="center"/>
              <w:rPr>
                <w:color w:val="000000"/>
                <w:sz w:val="20"/>
                <w:szCs w:val="20"/>
              </w:rPr>
            </w:pPr>
            <w:r>
              <w:rPr>
                <w:color w:val="000000"/>
                <w:sz w:val="20"/>
                <w:szCs w:val="20"/>
              </w:rPr>
              <w:object w:dxaOrig="280" w:dyaOrig="260">
                <v:shape id="_x0000_i1072" type="#_x0000_t75" style="width:13.75pt;height:13.15pt" o:ole="">
                  <v:imagedata r:id="rId146" o:title=""/>
                </v:shape>
                <o:OLEObject Type="Embed" ProgID="Equation.DSMT4" ShapeID="_x0000_i1072" DrawAspect="Content" ObjectID="_1707118171" r:id="rId147"/>
              </w:object>
            </w:r>
          </w:p>
        </w:tc>
        <w:tc>
          <w:tcPr>
            <w:tcW w:w="646" w:type="dxa"/>
            <w:tcBorders>
              <w:top w:val="nil"/>
              <w:left w:val="nil"/>
              <w:bottom w:val="single" w:sz="4" w:space="0" w:color="000000"/>
              <w:right w:val="nil"/>
            </w:tcBorders>
            <w:vAlign w:val="bottom"/>
          </w:tcPr>
          <w:p w:rsidR="00222F36" w:rsidRDefault="000B682F">
            <w:pPr>
              <w:spacing w:line="240" w:lineRule="auto"/>
              <w:jc w:val="center"/>
              <w:rPr>
                <w:color w:val="000000"/>
                <w:sz w:val="20"/>
                <w:szCs w:val="20"/>
              </w:rPr>
            </w:pPr>
            <w:r>
              <w:rPr>
                <w:color w:val="000000"/>
                <w:sz w:val="20"/>
                <w:szCs w:val="20"/>
              </w:rPr>
              <w:t> 0.460</w:t>
            </w:r>
          </w:p>
        </w:tc>
        <w:tc>
          <w:tcPr>
            <w:tcW w:w="731" w:type="dxa"/>
            <w:tcBorders>
              <w:top w:val="nil"/>
              <w:left w:val="nil"/>
              <w:bottom w:val="single" w:sz="4" w:space="0" w:color="000000"/>
              <w:right w:val="nil"/>
            </w:tcBorders>
            <w:vAlign w:val="bottom"/>
          </w:tcPr>
          <w:p w:rsidR="00222F36" w:rsidRDefault="000B682F">
            <w:pPr>
              <w:spacing w:line="240" w:lineRule="auto"/>
              <w:jc w:val="center"/>
              <w:rPr>
                <w:color w:val="000000"/>
                <w:sz w:val="20"/>
                <w:szCs w:val="20"/>
              </w:rPr>
            </w:pPr>
            <w:r>
              <w:rPr>
                <w:color w:val="000000"/>
                <w:sz w:val="20"/>
                <w:szCs w:val="20"/>
              </w:rPr>
              <w:t> 0.283</w:t>
            </w:r>
          </w:p>
        </w:tc>
        <w:tc>
          <w:tcPr>
            <w:tcW w:w="691" w:type="dxa"/>
            <w:tcBorders>
              <w:top w:val="nil"/>
              <w:left w:val="nil"/>
              <w:bottom w:val="single" w:sz="4" w:space="0" w:color="000000"/>
              <w:right w:val="nil"/>
            </w:tcBorders>
            <w:vAlign w:val="bottom"/>
          </w:tcPr>
          <w:p w:rsidR="00222F36" w:rsidRDefault="000B682F">
            <w:pPr>
              <w:spacing w:line="240" w:lineRule="auto"/>
              <w:jc w:val="center"/>
              <w:rPr>
                <w:color w:val="000000"/>
                <w:sz w:val="20"/>
                <w:szCs w:val="20"/>
              </w:rPr>
            </w:pPr>
            <w:r>
              <w:rPr>
                <w:color w:val="000000"/>
                <w:sz w:val="20"/>
                <w:szCs w:val="20"/>
              </w:rPr>
              <w:t> 0.427</w:t>
            </w:r>
          </w:p>
        </w:tc>
        <w:tc>
          <w:tcPr>
            <w:tcW w:w="734" w:type="dxa"/>
            <w:tcBorders>
              <w:top w:val="nil"/>
              <w:left w:val="nil"/>
              <w:bottom w:val="single" w:sz="4" w:space="0" w:color="000000"/>
              <w:right w:val="nil"/>
            </w:tcBorders>
            <w:vAlign w:val="bottom"/>
          </w:tcPr>
          <w:p w:rsidR="00222F36" w:rsidRDefault="000B682F">
            <w:pPr>
              <w:spacing w:line="240" w:lineRule="auto"/>
              <w:jc w:val="center"/>
              <w:rPr>
                <w:color w:val="000000"/>
                <w:sz w:val="20"/>
                <w:szCs w:val="20"/>
              </w:rPr>
            </w:pPr>
            <w:r>
              <w:rPr>
                <w:color w:val="000000"/>
                <w:sz w:val="20"/>
                <w:szCs w:val="20"/>
              </w:rPr>
              <w:t> 0.257</w:t>
            </w:r>
          </w:p>
        </w:tc>
        <w:tc>
          <w:tcPr>
            <w:tcW w:w="634" w:type="dxa"/>
            <w:tcBorders>
              <w:top w:val="nil"/>
              <w:left w:val="nil"/>
              <w:bottom w:val="single" w:sz="4" w:space="0" w:color="000000"/>
              <w:right w:val="nil"/>
            </w:tcBorders>
            <w:vAlign w:val="bottom"/>
          </w:tcPr>
          <w:p w:rsidR="00222F36" w:rsidRDefault="000B682F">
            <w:pPr>
              <w:spacing w:line="240" w:lineRule="auto"/>
              <w:jc w:val="center"/>
              <w:rPr>
                <w:color w:val="000000"/>
                <w:sz w:val="20"/>
                <w:szCs w:val="20"/>
              </w:rPr>
            </w:pPr>
            <w:r>
              <w:rPr>
                <w:color w:val="000000"/>
                <w:sz w:val="20"/>
                <w:szCs w:val="20"/>
              </w:rPr>
              <w:t>-0.017</w:t>
            </w:r>
          </w:p>
        </w:tc>
        <w:tc>
          <w:tcPr>
            <w:tcW w:w="660" w:type="dxa"/>
            <w:tcBorders>
              <w:top w:val="nil"/>
              <w:left w:val="nil"/>
              <w:bottom w:val="single" w:sz="4" w:space="0" w:color="000000"/>
              <w:right w:val="nil"/>
            </w:tcBorders>
            <w:vAlign w:val="bottom"/>
          </w:tcPr>
          <w:p w:rsidR="00222F36" w:rsidRDefault="000B682F">
            <w:pPr>
              <w:spacing w:line="240" w:lineRule="auto"/>
              <w:jc w:val="center"/>
              <w:rPr>
                <w:color w:val="000000"/>
                <w:sz w:val="20"/>
                <w:szCs w:val="20"/>
              </w:rPr>
            </w:pPr>
            <w:r>
              <w:rPr>
                <w:color w:val="000000"/>
                <w:sz w:val="20"/>
                <w:szCs w:val="20"/>
              </w:rPr>
              <w:t>-0.037</w:t>
            </w:r>
          </w:p>
        </w:tc>
        <w:tc>
          <w:tcPr>
            <w:tcW w:w="661" w:type="dxa"/>
            <w:tcBorders>
              <w:top w:val="nil"/>
              <w:left w:val="nil"/>
              <w:bottom w:val="single" w:sz="4" w:space="0" w:color="000000"/>
              <w:right w:val="nil"/>
            </w:tcBorders>
            <w:vAlign w:val="bottom"/>
          </w:tcPr>
          <w:p w:rsidR="00222F36" w:rsidRDefault="000B682F">
            <w:pPr>
              <w:spacing w:line="240" w:lineRule="auto"/>
              <w:jc w:val="center"/>
              <w:rPr>
                <w:color w:val="000000"/>
                <w:sz w:val="20"/>
                <w:szCs w:val="20"/>
              </w:rPr>
            </w:pPr>
            <w:r>
              <w:rPr>
                <w:color w:val="000000"/>
                <w:sz w:val="20"/>
                <w:szCs w:val="20"/>
              </w:rPr>
              <w:t> 0.298</w:t>
            </w:r>
          </w:p>
        </w:tc>
        <w:tc>
          <w:tcPr>
            <w:tcW w:w="661" w:type="dxa"/>
            <w:tcBorders>
              <w:top w:val="nil"/>
              <w:left w:val="nil"/>
              <w:bottom w:val="single" w:sz="4" w:space="0" w:color="000000"/>
              <w:right w:val="nil"/>
            </w:tcBorders>
            <w:vAlign w:val="bottom"/>
          </w:tcPr>
          <w:p w:rsidR="00222F36" w:rsidRDefault="000B682F">
            <w:pPr>
              <w:spacing w:line="240" w:lineRule="auto"/>
              <w:jc w:val="center"/>
              <w:rPr>
                <w:color w:val="000000"/>
                <w:sz w:val="20"/>
                <w:szCs w:val="20"/>
              </w:rPr>
            </w:pPr>
            <w:r>
              <w:rPr>
                <w:color w:val="000000"/>
                <w:sz w:val="20"/>
                <w:szCs w:val="20"/>
              </w:rPr>
              <w:t> 0.366</w:t>
            </w:r>
          </w:p>
        </w:tc>
        <w:tc>
          <w:tcPr>
            <w:tcW w:w="661" w:type="dxa"/>
            <w:tcBorders>
              <w:top w:val="nil"/>
              <w:left w:val="nil"/>
              <w:bottom w:val="single" w:sz="4" w:space="0" w:color="000000"/>
              <w:right w:val="nil"/>
            </w:tcBorders>
            <w:vAlign w:val="bottom"/>
          </w:tcPr>
          <w:p w:rsidR="00222F36" w:rsidRDefault="000B682F">
            <w:pPr>
              <w:spacing w:line="240" w:lineRule="auto"/>
              <w:jc w:val="center"/>
              <w:rPr>
                <w:color w:val="000000"/>
                <w:sz w:val="20"/>
                <w:szCs w:val="20"/>
              </w:rPr>
            </w:pPr>
            <w:r>
              <w:rPr>
                <w:color w:val="000000"/>
                <w:sz w:val="20"/>
                <w:szCs w:val="20"/>
              </w:rPr>
              <w:t> 0.123</w:t>
            </w:r>
          </w:p>
        </w:tc>
        <w:tc>
          <w:tcPr>
            <w:tcW w:w="661" w:type="dxa"/>
            <w:tcBorders>
              <w:top w:val="nil"/>
              <w:left w:val="nil"/>
              <w:bottom w:val="single" w:sz="4" w:space="0" w:color="000000"/>
              <w:right w:val="nil"/>
            </w:tcBorders>
            <w:vAlign w:val="bottom"/>
          </w:tcPr>
          <w:p w:rsidR="00222F36" w:rsidRDefault="000B682F">
            <w:pPr>
              <w:spacing w:line="240" w:lineRule="auto"/>
              <w:jc w:val="center"/>
              <w:rPr>
                <w:color w:val="000000"/>
                <w:sz w:val="20"/>
                <w:szCs w:val="20"/>
              </w:rPr>
            </w:pPr>
            <w:r>
              <w:rPr>
                <w:color w:val="000000"/>
                <w:sz w:val="20"/>
                <w:szCs w:val="20"/>
              </w:rPr>
              <w:t> 0.132</w:t>
            </w:r>
          </w:p>
        </w:tc>
      </w:tr>
      <w:tr w:rsidR="00222F36">
        <w:trPr>
          <w:trHeight w:val="320"/>
        </w:trPr>
        <w:tc>
          <w:tcPr>
            <w:tcW w:w="7580" w:type="dxa"/>
            <w:gridSpan w:val="11"/>
            <w:tcBorders>
              <w:top w:val="single" w:sz="4" w:space="0" w:color="000000"/>
              <w:left w:val="nil"/>
              <w:bottom w:val="nil"/>
              <w:right w:val="nil"/>
            </w:tcBorders>
          </w:tcPr>
          <w:p w:rsidR="00222F36" w:rsidRDefault="000B682F">
            <w:pPr>
              <w:spacing w:line="240" w:lineRule="auto"/>
              <w:jc w:val="left"/>
              <w:rPr>
                <w:color w:val="000000"/>
                <w:sz w:val="20"/>
                <w:szCs w:val="20"/>
              </w:rPr>
            </w:pPr>
            <w:r>
              <w:rPr>
                <w:i/>
                <w:color w:val="000000"/>
                <w:sz w:val="20"/>
                <w:szCs w:val="20"/>
              </w:rPr>
              <w:t>Notes</w:t>
            </w:r>
            <w:r>
              <w:rPr>
                <w:color w:val="000000"/>
                <w:sz w:val="20"/>
                <w:szCs w:val="20"/>
              </w:rPr>
              <w:t xml:space="preserve">: lower case variables are in logarithms. </w:t>
            </w:r>
          </w:p>
        </w:tc>
      </w:tr>
    </w:tbl>
    <w:p w:rsidR="00222F36" w:rsidRDefault="000B682F">
      <w:pPr>
        <w:jc w:val="center"/>
      </w:pPr>
      <w:r>
        <w:rPr>
          <w:rFonts w:ascii="Arial" w:eastAsia="Arial" w:hAnsi="Arial" w:cs="Arial"/>
          <w:sz w:val="18"/>
          <w:szCs w:val="18"/>
        </w:rPr>
        <w:br/>
      </w:r>
    </w:p>
    <w:p w:rsidR="00222F36" w:rsidRDefault="00222F36"/>
    <w:p w:rsidR="00222F36" w:rsidRDefault="00222F36"/>
    <w:p w:rsidR="00222F36" w:rsidRDefault="000B682F">
      <w:pPr>
        <w:rPr>
          <w:b/>
        </w:rPr>
      </w:pPr>
      <w:r>
        <w:rPr>
          <w:b/>
        </w:rPr>
        <w:t>A.1 Forecast Error Variance Decompositions</w:t>
      </w:r>
    </w:p>
    <w:p w:rsidR="00222F36" w:rsidRDefault="000B682F">
      <w:pPr>
        <w:jc w:val="center"/>
        <w:rPr>
          <w:b/>
        </w:rPr>
      </w:pPr>
      <w:r>
        <w:rPr>
          <w:b/>
        </w:rPr>
        <w:t>Table A5: Variance Decompositions</w:t>
      </w:r>
    </w:p>
    <w:tbl>
      <w:tblPr>
        <w:tblStyle w:val="a7"/>
        <w:tblW w:w="7580" w:type="dxa"/>
        <w:jc w:val="center"/>
        <w:tblLayout w:type="fixed"/>
        <w:tblLook w:val="0400" w:firstRow="0" w:lastRow="0" w:firstColumn="0" w:lastColumn="0" w:noHBand="0" w:noVBand="1"/>
      </w:tblPr>
      <w:tblGrid>
        <w:gridCol w:w="788"/>
        <w:gridCol w:w="766"/>
        <w:gridCol w:w="694"/>
        <w:gridCol w:w="666"/>
        <w:gridCol w:w="666"/>
        <w:gridCol w:w="666"/>
        <w:gridCol w:w="666"/>
        <w:gridCol w:w="666"/>
        <w:gridCol w:w="666"/>
        <w:gridCol w:w="666"/>
        <w:gridCol w:w="670"/>
      </w:tblGrid>
      <w:tr w:rsidR="00222F36">
        <w:trPr>
          <w:trHeight w:val="288"/>
          <w:jc w:val="center"/>
        </w:trPr>
        <w:tc>
          <w:tcPr>
            <w:tcW w:w="7580" w:type="dxa"/>
            <w:gridSpan w:val="11"/>
            <w:tcBorders>
              <w:top w:val="nil"/>
              <w:left w:val="nil"/>
              <w:right w:val="nil"/>
            </w:tcBorders>
            <w:shd w:val="clear" w:color="auto" w:fill="auto"/>
            <w:vAlign w:val="center"/>
          </w:tcPr>
          <w:p w:rsidR="00222F36" w:rsidRDefault="000B682F">
            <w:pPr>
              <w:spacing w:line="240" w:lineRule="auto"/>
              <w:jc w:val="center"/>
              <w:rPr>
                <w:sz w:val="20"/>
                <w:szCs w:val="20"/>
              </w:rPr>
            </w:pPr>
            <w:r>
              <w:rPr>
                <w:color w:val="000000"/>
                <w:sz w:val="20"/>
                <w:szCs w:val="20"/>
              </w:rPr>
              <w:t xml:space="preserve">Variance Decomposition of </w:t>
            </w:r>
            <w:r>
              <w:rPr>
                <w:color w:val="000000"/>
                <w:sz w:val="33"/>
                <w:szCs w:val="33"/>
                <w:vertAlign w:val="subscript"/>
              </w:rPr>
              <w:object w:dxaOrig="900" w:dyaOrig="340">
                <v:shape id="_x0000_i1073" type="#_x0000_t75" style="width:45.1pt;height:16.9pt" o:ole="">
                  <v:imagedata r:id="rId148" o:title=""/>
                </v:shape>
                <o:OLEObject Type="Embed" ProgID="Equation.DSMT4" ShapeID="_x0000_i1073" DrawAspect="Content" ObjectID="_1707118172" r:id="rId149"/>
              </w:object>
            </w:r>
          </w:p>
        </w:tc>
      </w:tr>
      <w:tr w:rsidR="00222F36">
        <w:trPr>
          <w:trHeight w:val="288"/>
          <w:jc w:val="center"/>
        </w:trPr>
        <w:tc>
          <w:tcPr>
            <w:tcW w:w="788"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Period</w:t>
            </w:r>
          </w:p>
        </w:tc>
        <w:tc>
          <w:tcPr>
            <w:tcW w:w="7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ip</w:t>
            </w:r>
          </w:p>
        </w:tc>
        <w:tc>
          <w:tcPr>
            <w:tcW w:w="694"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sp500</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loans</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p</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350" w:dyaOrig="260">
                <v:shape id="_x0000_i1074" type="#_x0000_t75" style="width:17.55pt;height:13.15pt" o:ole="">
                  <v:imagedata r:id="rId27" o:title=""/>
                </v:shape>
                <o:OLEObject Type="Embed" ProgID="Equation.DSMT4" ShapeID="_x0000_i1074" DrawAspect="Content" ObjectID="_1707118173" r:id="rId150"/>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410" w:dyaOrig="260">
                <v:shape id="_x0000_i1075" type="#_x0000_t75" style="width:20.65pt;height:13.15pt" o:ole="">
                  <v:imagedata r:id="rId29" o:title=""/>
                </v:shape>
                <o:OLEObject Type="Embed" ProgID="Equation.DSMT4" ShapeID="_x0000_i1075" DrawAspect="Content" ObjectID="_1707118174" r:id="rId151"/>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400" w:dyaOrig="260">
                <v:shape id="_x0000_i1076" type="#_x0000_t75" style="width:20.05pt;height:13.15pt" o:ole="">
                  <v:imagedata r:id="rId31" o:title=""/>
                </v:shape>
                <o:OLEObject Type="Embed" ProgID="Equation.DSMT4" ShapeID="_x0000_i1076" DrawAspect="Content" ObjectID="_1707118175" r:id="rId152"/>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EPU</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33"/>
                <w:szCs w:val="33"/>
                <w:vertAlign w:val="subscript"/>
              </w:rPr>
              <w:object w:dxaOrig="440" w:dyaOrig="280">
                <v:shape id="_x0000_i1077" type="#_x0000_t75" style="width:21.9pt;height:13.75pt" o:ole="">
                  <v:imagedata r:id="rId33" o:title=""/>
                </v:shape>
                <o:OLEObject Type="Embed" ProgID="Equation.DSMT4" ShapeID="_x0000_i1077" DrawAspect="Content" ObjectID="_1707118176" r:id="rId153"/>
              </w:object>
            </w:r>
          </w:p>
        </w:tc>
        <w:tc>
          <w:tcPr>
            <w:tcW w:w="670"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33"/>
                <w:szCs w:val="33"/>
                <w:vertAlign w:val="subscript"/>
              </w:rPr>
              <w:object w:dxaOrig="410" w:dyaOrig="280">
                <v:shape id="_x0000_i1078" type="#_x0000_t75" style="width:20.65pt;height:13.75pt" o:ole="">
                  <v:imagedata r:id="rId35" o:title=""/>
                </v:shape>
                <o:OLEObject Type="Embed" ProgID="Equation.DSMT4" ShapeID="_x0000_i1078" DrawAspect="Content" ObjectID="_1707118177" r:id="rId154"/>
              </w:object>
            </w:r>
          </w:p>
        </w:tc>
      </w:tr>
      <w:tr w:rsidR="00222F36">
        <w:trPr>
          <w:trHeight w:val="288"/>
          <w:jc w:val="center"/>
        </w:trPr>
        <w:tc>
          <w:tcPr>
            <w:tcW w:w="788"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w:t>
            </w:r>
          </w:p>
        </w:tc>
        <w:tc>
          <w:tcPr>
            <w:tcW w:w="7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100.00</w:t>
            </w:r>
          </w:p>
        </w:tc>
        <w:tc>
          <w:tcPr>
            <w:tcW w:w="694"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70"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92.59</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4.33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0.42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1.85</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84.25</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7.39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2.29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0.13</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4.67</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77.94</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9.04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1.47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3.40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0.31</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7.54</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73.57</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9.91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1.65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0.36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3.88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0.48</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10.00</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63.33</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10.48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0.27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1.81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2.65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4.75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1.02</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15.43</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15</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58.75</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9.53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0.37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0.56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1.95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5.21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5.34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0.44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1.55</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16.31</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20</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55.85</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8.55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0.82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2.10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7.01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5.64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0.76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2.08</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16.49</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222F36">
            <w:pPr>
              <w:spacing w:line="240" w:lineRule="auto"/>
              <w:jc w:val="center"/>
              <w:rPr>
                <w:color w:val="000000"/>
                <w:sz w:val="20"/>
                <w:szCs w:val="20"/>
              </w:rPr>
            </w:pPr>
          </w:p>
        </w:tc>
        <w:tc>
          <w:tcPr>
            <w:tcW w:w="7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94"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70"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r>
      <w:tr w:rsidR="00222F36">
        <w:trPr>
          <w:trHeight w:val="288"/>
          <w:jc w:val="center"/>
        </w:trPr>
        <w:tc>
          <w:tcPr>
            <w:tcW w:w="7580" w:type="dxa"/>
            <w:gridSpan w:val="11"/>
            <w:tcBorders>
              <w:top w:val="nil"/>
              <w:left w:val="nil"/>
              <w:right w:val="nil"/>
            </w:tcBorders>
            <w:shd w:val="clear" w:color="auto" w:fill="auto"/>
            <w:vAlign w:val="center"/>
          </w:tcPr>
          <w:p w:rsidR="00222F36" w:rsidRDefault="000B682F">
            <w:pPr>
              <w:spacing w:line="240" w:lineRule="auto"/>
              <w:jc w:val="center"/>
              <w:rPr>
                <w:sz w:val="20"/>
                <w:szCs w:val="20"/>
              </w:rPr>
            </w:pPr>
            <w:r>
              <w:rPr>
                <w:color w:val="000000"/>
                <w:sz w:val="20"/>
                <w:szCs w:val="20"/>
              </w:rPr>
              <w:t xml:space="preserve">Variance Decomposition of </w:t>
            </w:r>
            <w:r>
              <w:rPr>
                <w:color w:val="000000"/>
                <w:sz w:val="33"/>
                <w:szCs w:val="33"/>
                <w:vertAlign w:val="subscript"/>
              </w:rPr>
              <w:object w:dxaOrig="1540" w:dyaOrig="340">
                <v:shape id="_x0000_i1079" type="#_x0000_t75" style="width:77pt;height:16.9pt" o:ole="">
                  <v:imagedata r:id="rId155" o:title=""/>
                </v:shape>
                <o:OLEObject Type="Embed" ProgID="Equation.DSMT4" ShapeID="_x0000_i1079" DrawAspect="Content" ObjectID="_1707118178" r:id="rId156"/>
              </w:object>
            </w:r>
          </w:p>
        </w:tc>
      </w:tr>
      <w:tr w:rsidR="00222F36">
        <w:trPr>
          <w:trHeight w:val="288"/>
          <w:jc w:val="center"/>
        </w:trPr>
        <w:tc>
          <w:tcPr>
            <w:tcW w:w="788"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Period</w:t>
            </w:r>
          </w:p>
        </w:tc>
        <w:tc>
          <w:tcPr>
            <w:tcW w:w="7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ip</w:t>
            </w:r>
          </w:p>
        </w:tc>
        <w:tc>
          <w:tcPr>
            <w:tcW w:w="694"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sp500</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loans</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p</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350" w:dyaOrig="260">
                <v:shape id="_x0000_i1080" type="#_x0000_t75" style="width:17.55pt;height:13.15pt" o:ole="">
                  <v:imagedata r:id="rId27" o:title=""/>
                </v:shape>
                <o:OLEObject Type="Embed" ProgID="Equation.DSMT4" ShapeID="_x0000_i1080" DrawAspect="Content" ObjectID="_1707118179" r:id="rId157"/>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410" w:dyaOrig="260">
                <v:shape id="_x0000_i1081" type="#_x0000_t75" style="width:20.65pt;height:13.15pt" o:ole="">
                  <v:imagedata r:id="rId29" o:title=""/>
                </v:shape>
                <o:OLEObject Type="Embed" ProgID="Equation.DSMT4" ShapeID="_x0000_i1081" DrawAspect="Content" ObjectID="_1707118180" r:id="rId158"/>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400" w:dyaOrig="260">
                <v:shape id="_x0000_i1082" type="#_x0000_t75" style="width:20.05pt;height:13.15pt" o:ole="">
                  <v:imagedata r:id="rId31" o:title=""/>
                </v:shape>
                <o:OLEObject Type="Embed" ProgID="Equation.DSMT4" ShapeID="_x0000_i1082" DrawAspect="Content" ObjectID="_1707118181" r:id="rId159"/>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EPU</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33"/>
                <w:szCs w:val="33"/>
                <w:vertAlign w:val="subscript"/>
              </w:rPr>
              <w:object w:dxaOrig="440" w:dyaOrig="280">
                <v:shape id="_x0000_i1083" type="#_x0000_t75" style="width:21.9pt;height:13.75pt" o:ole="">
                  <v:imagedata r:id="rId33" o:title=""/>
                </v:shape>
                <o:OLEObject Type="Embed" ProgID="Equation.DSMT4" ShapeID="_x0000_i1083" DrawAspect="Content" ObjectID="_1707118182" r:id="rId160"/>
              </w:object>
            </w:r>
          </w:p>
        </w:tc>
        <w:tc>
          <w:tcPr>
            <w:tcW w:w="670"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33"/>
                <w:szCs w:val="33"/>
                <w:vertAlign w:val="subscript"/>
              </w:rPr>
              <w:object w:dxaOrig="410" w:dyaOrig="280">
                <v:shape id="_x0000_i1084" type="#_x0000_t75" style="width:20.65pt;height:13.75pt" o:ole="">
                  <v:imagedata r:id="rId35" o:title=""/>
                </v:shape>
                <o:OLEObject Type="Embed" ProgID="Equation.DSMT4" ShapeID="_x0000_i1084" DrawAspect="Content" ObjectID="_1707118183" r:id="rId161"/>
              </w:object>
            </w:r>
          </w:p>
        </w:tc>
      </w:tr>
      <w:tr w:rsidR="00222F36">
        <w:trPr>
          <w:trHeight w:val="288"/>
          <w:jc w:val="center"/>
        </w:trPr>
        <w:tc>
          <w:tcPr>
            <w:tcW w:w="788"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w:t>
            </w:r>
          </w:p>
        </w:tc>
        <w:tc>
          <w:tcPr>
            <w:tcW w:w="7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11.80</w:t>
            </w:r>
          </w:p>
        </w:tc>
        <w:tc>
          <w:tcPr>
            <w:tcW w:w="694"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88.20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70"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14.55</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76.95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0.42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6.46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1.21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0.10</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0.17</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17.13</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69.61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0.26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8.06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3.28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0.35</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0.51</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18.45</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66.58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0.43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0.51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0.41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7.21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4.62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0.66</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1.12</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18.76</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65.35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0.40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6.19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5.34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0.89</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1.76</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17.46</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63.61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0.75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0.20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2.62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4.97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6.82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1.09</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2.35</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15</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16.45</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62.12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0.58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4.63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5.03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7.35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1.21</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2.36</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20</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15.67</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61.06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0.46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6.25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5.16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7.52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1.34</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2.32</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222F36">
            <w:pPr>
              <w:spacing w:line="240" w:lineRule="auto"/>
              <w:jc w:val="center"/>
              <w:rPr>
                <w:color w:val="000000"/>
                <w:sz w:val="20"/>
                <w:szCs w:val="20"/>
              </w:rPr>
            </w:pPr>
          </w:p>
        </w:tc>
        <w:tc>
          <w:tcPr>
            <w:tcW w:w="7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94"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70"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r>
      <w:tr w:rsidR="00222F36">
        <w:trPr>
          <w:trHeight w:val="288"/>
          <w:jc w:val="center"/>
        </w:trPr>
        <w:tc>
          <w:tcPr>
            <w:tcW w:w="7580" w:type="dxa"/>
            <w:gridSpan w:val="11"/>
            <w:tcBorders>
              <w:top w:val="nil"/>
              <w:left w:val="nil"/>
              <w:right w:val="nil"/>
            </w:tcBorders>
            <w:shd w:val="clear" w:color="auto" w:fill="auto"/>
            <w:vAlign w:val="center"/>
          </w:tcPr>
          <w:p w:rsidR="00222F36" w:rsidRDefault="000B682F">
            <w:pPr>
              <w:spacing w:line="240" w:lineRule="auto"/>
              <w:jc w:val="center"/>
              <w:rPr>
                <w:sz w:val="20"/>
                <w:szCs w:val="20"/>
              </w:rPr>
            </w:pPr>
            <w:r>
              <w:rPr>
                <w:color w:val="000000"/>
                <w:sz w:val="20"/>
                <w:szCs w:val="20"/>
              </w:rPr>
              <w:t xml:space="preserve">Variance Decomposition of </w:t>
            </w:r>
            <w:r>
              <w:rPr>
                <w:color w:val="000000"/>
                <w:sz w:val="33"/>
                <w:szCs w:val="33"/>
                <w:vertAlign w:val="subscript"/>
              </w:rPr>
              <w:object w:dxaOrig="1600" w:dyaOrig="340">
                <v:shape id="_x0000_i1085" type="#_x0000_t75" style="width:80.15pt;height:16.9pt" o:ole="">
                  <v:imagedata r:id="rId162" o:title=""/>
                </v:shape>
                <o:OLEObject Type="Embed" ProgID="Equation.DSMT4" ShapeID="_x0000_i1085" DrawAspect="Content" ObjectID="_1707118184" r:id="rId163"/>
              </w:object>
            </w:r>
          </w:p>
        </w:tc>
      </w:tr>
      <w:tr w:rsidR="00222F36">
        <w:trPr>
          <w:trHeight w:val="288"/>
          <w:jc w:val="center"/>
        </w:trPr>
        <w:tc>
          <w:tcPr>
            <w:tcW w:w="788"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Period</w:t>
            </w:r>
          </w:p>
        </w:tc>
        <w:tc>
          <w:tcPr>
            <w:tcW w:w="7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ip</w:t>
            </w:r>
          </w:p>
        </w:tc>
        <w:tc>
          <w:tcPr>
            <w:tcW w:w="694"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sp500</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loans</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p</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350" w:dyaOrig="260">
                <v:shape id="_x0000_i1086" type="#_x0000_t75" style="width:17.55pt;height:13.15pt" o:ole="">
                  <v:imagedata r:id="rId27" o:title=""/>
                </v:shape>
                <o:OLEObject Type="Embed" ProgID="Equation.DSMT4" ShapeID="_x0000_i1086" DrawAspect="Content" ObjectID="_1707118185" r:id="rId164"/>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410" w:dyaOrig="260">
                <v:shape id="_x0000_i1087" type="#_x0000_t75" style="width:20.65pt;height:13.15pt" o:ole="">
                  <v:imagedata r:id="rId29" o:title=""/>
                </v:shape>
                <o:OLEObject Type="Embed" ProgID="Equation.DSMT4" ShapeID="_x0000_i1087" DrawAspect="Content" ObjectID="_1707118186" r:id="rId165"/>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400" w:dyaOrig="260">
                <v:shape id="_x0000_i1088" type="#_x0000_t75" style="width:20.05pt;height:13.15pt" o:ole="">
                  <v:imagedata r:id="rId31" o:title=""/>
                </v:shape>
                <o:OLEObject Type="Embed" ProgID="Equation.DSMT4" ShapeID="_x0000_i1088" DrawAspect="Content" ObjectID="_1707118187" r:id="rId166"/>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EPU</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33"/>
                <w:szCs w:val="33"/>
                <w:vertAlign w:val="subscript"/>
              </w:rPr>
              <w:object w:dxaOrig="440" w:dyaOrig="280">
                <v:shape id="_x0000_i1089" type="#_x0000_t75" style="width:21.9pt;height:13.75pt" o:ole="">
                  <v:imagedata r:id="rId33" o:title=""/>
                </v:shape>
                <o:OLEObject Type="Embed" ProgID="Equation.DSMT4" ShapeID="_x0000_i1089" DrawAspect="Content" ObjectID="_1707118188" r:id="rId167"/>
              </w:object>
            </w:r>
          </w:p>
        </w:tc>
        <w:tc>
          <w:tcPr>
            <w:tcW w:w="670"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33"/>
                <w:szCs w:val="33"/>
                <w:vertAlign w:val="subscript"/>
              </w:rPr>
              <w:object w:dxaOrig="410" w:dyaOrig="280">
                <v:shape id="_x0000_i1090" type="#_x0000_t75" style="width:20.65pt;height:13.75pt" o:ole="">
                  <v:imagedata r:id="rId35" o:title=""/>
                </v:shape>
                <o:OLEObject Type="Embed" ProgID="Equation.DSMT4" ShapeID="_x0000_i1090" DrawAspect="Content" ObjectID="_1707118189" r:id="rId168"/>
              </w:object>
            </w:r>
          </w:p>
        </w:tc>
      </w:tr>
      <w:tr w:rsidR="00222F36">
        <w:trPr>
          <w:trHeight w:val="288"/>
          <w:jc w:val="center"/>
        </w:trPr>
        <w:tc>
          <w:tcPr>
            <w:tcW w:w="788"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w:t>
            </w:r>
          </w:p>
        </w:tc>
        <w:tc>
          <w:tcPr>
            <w:tcW w:w="7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4.48</w:t>
            </w:r>
          </w:p>
        </w:tc>
        <w:tc>
          <w:tcPr>
            <w:tcW w:w="694"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2.31</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93.22</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70"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2.44</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1.19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94.02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0.98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0.09</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0.46</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1.93</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4.08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84.09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2.05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2.17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0.94</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3.92</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2.45</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9.26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69.66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3.38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3.04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2.29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2.21</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7.47</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3.18</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14.49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55.86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4.38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3.61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0.37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4.35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3.58</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10.07</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4.91</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27.41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21.66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6.31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4.65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1.78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1.69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11.46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7.45</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12.68</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lastRenderedPageBreak/>
              <w:t>15</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4.88</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29.66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12.75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6.61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4.89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4.72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2.47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14.08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8.21</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11.73</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20</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4.51</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29.64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9.72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6.54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4.96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7.51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2.97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15.03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8.21</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10.92</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222F36">
            <w:pPr>
              <w:spacing w:line="240" w:lineRule="auto"/>
              <w:jc w:val="center"/>
              <w:rPr>
                <w:color w:val="000000"/>
                <w:sz w:val="20"/>
                <w:szCs w:val="20"/>
              </w:rPr>
            </w:pPr>
          </w:p>
        </w:tc>
        <w:tc>
          <w:tcPr>
            <w:tcW w:w="7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94"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70"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r>
      <w:tr w:rsidR="00222F36">
        <w:trPr>
          <w:trHeight w:val="288"/>
          <w:jc w:val="center"/>
        </w:trPr>
        <w:tc>
          <w:tcPr>
            <w:tcW w:w="7580" w:type="dxa"/>
            <w:gridSpan w:val="11"/>
            <w:tcBorders>
              <w:top w:val="nil"/>
              <w:left w:val="nil"/>
              <w:right w:val="nil"/>
            </w:tcBorders>
            <w:shd w:val="clear" w:color="auto" w:fill="auto"/>
            <w:vAlign w:val="center"/>
          </w:tcPr>
          <w:p w:rsidR="00222F36" w:rsidRDefault="000B682F">
            <w:pPr>
              <w:spacing w:line="240" w:lineRule="auto"/>
              <w:jc w:val="center"/>
              <w:rPr>
                <w:sz w:val="20"/>
                <w:szCs w:val="20"/>
              </w:rPr>
            </w:pPr>
            <w:r>
              <w:rPr>
                <w:color w:val="000000"/>
                <w:sz w:val="20"/>
                <w:szCs w:val="20"/>
              </w:rPr>
              <w:t xml:space="preserve">Variance Decomposition of </w:t>
            </w:r>
            <w:r>
              <w:rPr>
                <w:color w:val="000000"/>
                <w:sz w:val="33"/>
                <w:szCs w:val="33"/>
                <w:vertAlign w:val="subscript"/>
              </w:rPr>
              <w:object w:dxaOrig="800" w:dyaOrig="340">
                <v:shape id="_x0000_i1091" type="#_x0000_t75" style="width:40.05pt;height:16.9pt" o:ole="">
                  <v:imagedata r:id="rId169" o:title=""/>
                </v:shape>
                <o:OLEObject Type="Embed" ProgID="Equation.DSMT4" ShapeID="_x0000_i1091" DrawAspect="Content" ObjectID="_1707118190" r:id="rId170"/>
              </w:object>
            </w:r>
          </w:p>
        </w:tc>
      </w:tr>
      <w:tr w:rsidR="00222F36">
        <w:trPr>
          <w:trHeight w:val="288"/>
          <w:jc w:val="center"/>
        </w:trPr>
        <w:tc>
          <w:tcPr>
            <w:tcW w:w="788"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Period</w:t>
            </w:r>
          </w:p>
        </w:tc>
        <w:tc>
          <w:tcPr>
            <w:tcW w:w="7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ip</w:t>
            </w:r>
          </w:p>
        </w:tc>
        <w:tc>
          <w:tcPr>
            <w:tcW w:w="694"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sp500</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loans</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p</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350" w:dyaOrig="260">
                <v:shape id="_x0000_i1092" type="#_x0000_t75" style="width:17.55pt;height:13.15pt" o:ole="">
                  <v:imagedata r:id="rId27" o:title=""/>
                </v:shape>
                <o:OLEObject Type="Embed" ProgID="Equation.DSMT4" ShapeID="_x0000_i1092" DrawAspect="Content" ObjectID="_1707118191" r:id="rId171"/>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410" w:dyaOrig="260">
                <v:shape id="_x0000_i1093" type="#_x0000_t75" style="width:20.65pt;height:13.15pt" o:ole="">
                  <v:imagedata r:id="rId29" o:title=""/>
                </v:shape>
                <o:OLEObject Type="Embed" ProgID="Equation.DSMT4" ShapeID="_x0000_i1093" DrawAspect="Content" ObjectID="_1707118192" r:id="rId172"/>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400" w:dyaOrig="260">
                <v:shape id="_x0000_i1094" type="#_x0000_t75" style="width:20.05pt;height:13.15pt" o:ole="">
                  <v:imagedata r:id="rId31" o:title=""/>
                </v:shape>
                <o:OLEObject Type="Embed" ProgID="Equation.DSMT4" ShapeID="_x0000_i1094" DrawAspect="Content" ObjectID="_1707118193" r:id="rId173"/>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EPU</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33"/>
                <w:szCs w:val="33"/>
                <w:vertAlign w:val="subscript"/>
              </w:rPr>
              <w:object w:dxaOrig="440" w:dyaOrig="280">
                <v:shape id="_x0000_i1095" type="#_x0000_t75" style="width:21.9pt;height:13.75pt" o:ole="">
                  <v:imagedata r:id="rId33" o:title=""/>
                </v:shape>
                <o:OLEObject Type="Embed" ProgID="Equation.DSMT4" ShapeID="_x0000_i1095" DrawAspect="Content" ObjectID="_1707118194" r:id="rId174"/>
              </w:object>
            </w:r>
          </w:p>
        </w:tc>
        <w:tc>
          <w:tcPr>
            <w:tcW w:w="670"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33"/>
                <w:szCs w:val="33"/>
                <w:vertAlign w:val="subscript"/>
              </w:rPr>
              <w:object w:dxaOrig="410" w:dyaOrig="280">
                <v:shape id="_x0000_i1096" type="#_x0000_t75" style="width:20.65pt;height:13.75pt" o:ole="">
                  <v:imagedata r:id="rId35" o:title=""/>
                </v:shape>
                <o:OLEObject Type="Embed" ProgID="Equation.DSMT4" ShapeID="_x0000_i1096" DrawAspect="Content" ObjectID="_1707118195" r:id="rId175"/>
              </w:object>
            </w:r>
          </w:p>
        </w:tc>
      </w:tr>
      <w:tr w:rsidR="00222F36">
        <w:trPr>
          <w:trHeight w:val="288"/>
          <w:jc w:val="center"/>
        </w:trPr>
        <w:tc>
          <w:tcPr>
            <w:tcW w:w="788"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w:t>
            </w:r>
          </w:p>
        </w:tc>
        <w:tc>
          <w:tcPr>
            <w:tcW w:w="7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0.18</w:t>
            </w:r>
          </w:p>
        </w:tc>
        <w:tc>
          <w:tcPr>
            <w:tcW w:w="694"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0.08</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0.85</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98.89</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70"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3.43</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0.41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1.94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93.72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0.25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0.02</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0.01</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6.80</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1.33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2.57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87.59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0.40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0.11</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0.03</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9.29</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2.30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2.98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82.42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0.46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0.27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1.93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0.17</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0.08</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10.98</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3.21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3.24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78.32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0.46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0.20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0.43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2.76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0.21</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0.19</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13.47</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6.14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3.59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67.85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0.30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1.14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0.95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5.28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0.46</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0.82</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15</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13.44</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7.50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3.35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63.40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2.55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1.36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6.49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0.64</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1.08</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20</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13.09</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8.11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3.07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61.00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3.90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1.66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7.12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0.72</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1.19</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222F36">
            <w:pPr>
              <w:spacing w:line="240" w:lineRule="auto"/>
              <w:jc w:val="center"/>
              <w:rPr>
                <w:color w:val="000000"/>
                <w:sz w:val="20"/>
                <w:szCs w:val="20"/>
              </w:rPr>
            </w:pPr>
          </w:p>
        </w:tc>
        <w:tc>
          <w:tcPr>
            <w:tcW w:w="7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94"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70"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r>
      <w:tr w:rsidR="00222F36">
        <w:trPr>
          <w:trHeight w:val="288"/>
          <w:jc w:val="center"/>
        </w:trPr>
        <w:tc>
          <w:tcPr>
            <w:tcW w:w="7580" w:type="dxa"/>
            <w:gridSpan w:val="11"/>
            <w:tcBorders>
              <w:top w:val="nil"/>
              <w:left w:val="nil"/>
              <w:right w:val="nil"/>
            </w:tcBorders>
            <w:shd w:val="clear" w:color="auto" w:fill="auto"/>
            <w:vAlign w:val="center"/>
          </w:tcPr>
          <w:p w:rsidR="00222F36" w:rsidRDefault="000B682F">
            <w:pPr>
              <w:spacing w:line="240" w:lineRule="auto"/>
              <w:jc w:val="center"/>
              <w:rPr>
                <w:sz w:val="20"/>
                <w:szCs w:val="20"/>
              </w:rPr>
            </w:pPr>
            <w:r>
              <w:rPr>
                <w:color w:val="000000"/>
                <w:sz w:val="20"/>
                <w:szCs w:val="20"/>
              </w:rPr>
              <w:t xml:space="preserve">Variance Decomposition of </w:t>
            </w:r>
            <w:r>
              <w:rPr>
                <w:color w:val="000000"/>
                <w:sz w:val="20"/>
                <w:szCs w:val="20"/>
              </w:rPr>
              <w:object w:dxaOrig="350" w:dyaOrig="260">
                <v:shape id="_x0000_i1097" type="#_x0000_t75" style="width:17.55pt;height:13.15pt" o:ole="">
                  <v:imagedata r:id="rId176" o:title=""/>
                </v:shape>
                <o:OLEObject Type="Embed" ProgID="Equation.DSMT4" ShapeID="_x0000_i1097" DrawAspect="Content" ObjectID="_1707118196" r:id="rId177"/>
              </w:object>
            </w:r>
          </w:p>
        </w:tc>
      </w:tr>
      <w:tr w:rsidR="00222F36">
        <w:trPr>
          <w:trHeight w:val="288"/>
          <w:jc w:val="center"/>
        </w:trPr>
        <w:tc>
          <w:tcPr>
            <w:tcW w:w="788"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Period</w:t>
            </w:r>
          </w:p>
        </w:tc>
        <w:tc>
          <w:tcPr>
            <w:tcW w:w="7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ip</w:t>
            </w:r>
          </w:p>
        </w:tc>
        <w:tc>
          <w:tcPr>
            <w:tcW w:w="694"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sp500</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loans</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p</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350" w:dyaOrig="260">
                <v:shape id="_x0000_i1098" type="#_x0000_t75" style="width:17.55pt;height:13.15pt" o:ole="">
                  <v:imagedata r:id="rId27" o:title=""/>
                </v:shape>
                <o:OLEObject Type="Embed" ProgID="Equation.DSMT4" ShapeID="_x0000_i1098" DrawAspect="Content" ObjectID="_1707118197" r:id="rId178"/>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410" w:dyaOrig="260">
                <v:shape id="_x0000_i1099" type="#_x0000_t75" style="width:20.65pt;height:13.15pt" o:ole="">
                  <v:imagedata r:id="rId29" o:title=""/>
                </v:shape>
                <o:OLEObject Type="Embed" ProgID="Equation.DSMT4" ShapeID="_x0000_i1099" DrawAspect="Content" ObjectID="_1707118198" r:id="rId179"/>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400" w:dyaOrig="260">
                <v:shape id="_x0000_i1100" type="#_x0000_t75" style="width:20.05pt;height:13.15pt" o:ole="">
                  <v:imagedata r:id="rId31" o:title=""/>
                </v:shape>
                <o:OLEObject Type="Embed" ProgID="Equation.DSMT4" ShapeID="_x0000_i1100" DrawAspect="Content" ObjectID="_1707118199" r:id="rId180"/>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EPU</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33"/>
                <w:szCs w:val="33"/>
                <w:vertAlign w:val="subscript"/>
              </w:rPr>
              <w:object w:dxaOrig="440" w:dyaOrig="280">
                <v:shape id="_x0000_i1101" type="#_x0000_t75" style="width:21.9pt;height:13.75pt" o:ole="">
                  <v:imagedata r:id="rId33" o:title=""/>
                </v:shape>
                <o:OLEObject Type="Embed" ProgID="Equation.DSMT4" ShapeID="_x0000_i1101" DrawAspect="Content" ObjectID="_1707118200" r:id="rId181"/>
              </w:object>
            </w:r>
          </w:p>
        </w:tc>
        <w:tc>
          <w:tcPr>
            <w:tcW w:w="670"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33"/>
                <w:szCs w:val="33"/>
                <w:vertAlign w:val="subscript"/>
              </w:rPr>
              <w:object w:dxaOrig="410" w:dyaOrig="280">
                <v:shape id="_x0000_i1102" type="#_x0000_t75" style="width:20.65pt;height:13.75pt" o:ole="">
                  <v:imagedata r:id="rId35" o:title=""/>
                </v:shape>
                <o:OLEObject Type="Embed" ProgID="Equation.DSMT4" ShapeID="_x0000_i1102" DrawAspect="Content" ObjectID="_1707118201" r:id="rId182"/>
              </w:object>
            </w:r>
          </w:p>
        </w:tc>
      </w:tr>
      <w:tr w:rsidR="00222F36">
        <w:trPr>
          <w:trHeight w:val="288"/>
          <w:jc w:val="center"/>
        </w:trPr>
        <w:tc>
          <w:tcPr>
            <w:tcW w:w="788"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w:t>
            </w:r>
          </w:p>
        </w:tc>
        <w:tc>
          <w:tcPr>
            <w:tcW w:w="7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1.20</w:t>
            </w:r>
          </w:p>
        </w:tc>
        <w:tc>
          <w:tcPr>
            <w:tcW w:w="694"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0.22</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1.24</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0.86</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96.48</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70"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1.53</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1.16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1.13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1.36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94.35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0.27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0.02</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1.82</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1.64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1.47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1.97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91.96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0.47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0.02</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2.14</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2.01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1.91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2.56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89.33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0.89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1.11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0.01</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0.02</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2.45</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2.29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2.38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3.13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86.75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1.35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1.57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0.03</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0.02</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3.96</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3.45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4.17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4.98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76.76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3.50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2.60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0.35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0.23</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0.01</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15</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5.15</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4.59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5.29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5.89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70.29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4.80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2.76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0.73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0.46</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0.03</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20</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5.92</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5.54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5.99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6.45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66.15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5.41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2.74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0.66</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0.06</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222F36">
            <w:pPr>
              <w:spacing w:line="240" w:lineRule="auto"/>
              <w:jc w:val="center"/>
              <w:rPr>
                <w:color w:val="000000"/>
                <w:sz w:val="20"/>
                <w:szCs w:val="20"/>
              </w:rPr>
            </w:pPr>
          </w:p>
        </w:tc>
        <w:tc>
          <w:tcPr>
            <w:tcW w:w="7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94"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70"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r>
      <w:tr w:rsidR="00222F36">
        <w:trPr>
          <w:trHeight w:val="288"/>
          <w:jc w:val="center"/>
        </w:trPr>
        <w:tc>
          <w:tcPr>
            <w:tcW w:w="7580" w:type="dxa"/>
            <w:gridSpan w:val="11"/>
            <w:tcBorders>
              <w:top w:val="nil"/>
              <w:left w:val="nil"/>
              <w:right w:val="nil"/>
            </w:tcBorders>
            <w:shd w:val="clear" w:color="auto" w:fill="auto"/>
            <w:vAlign w:val="center"/>
          </w:tcPr>
          <w:p w:rsidR="00222F36" w:rsidRDefault="000B682F">
            <w:pPr>
              <w:spacing w:line="240" w:lineRule="auto"/>
              <w:jc w:val="center"/>
              <w:rPr>
                <w:sz w:val="20"/>
                <w:szCs w:val="20"/>
              </w:rPr>
            </w:pPr>
            <w:r>
              <w:rPr>
                <w:color w:val="000000"/>
                <w:sz w:val="20"/>
                <w:szCs w:val="20"/>
              </w:rPr>
              <w:t xml:space="preserve">Variance Decomposition of </w:t>
            </w:r>
            <w:r>
              <w:rPr>
                <w:color w:val="000000"/>
                <w:sz w:val="20"/>
                <w:szCs w:val="20"/>
              </w:rPr>
              <w:object w:dxaOrig="410" w:dyaOrig="260">
                <v:shape id="_x0000_i1103" type="#_x0000_t75" style="width:20.65pt;height:13.15pt" o:ole="">
                  <v:imagedata r:id="rId183" o:title=""/>
                </v:shape>
                <o:OLEObject Type="Embed" ProgID="Equation.DSMT4" ShapeID="_x0000_i1103" DrawAspect="Content" ObjectID="_1707118202" r:id="rId184"/>
              </w:object>
            </w:r>
          </w:p>
        </w:tc>
      </w:tr>
      <w:tr w:rsidR="00222F36">
        <w:trPr>
          <w:trHeight w:val="288"/>
          <w:jc w:val="center"/>
        </w:trPr>
        <w:tc>
          <w:tcPr>
            <w:tcW w:w="788"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Period</w:t>
            </w:r>
          </w:p>
        </w:tc>
        <w:tc>
          <w:tcPr>
            <w:tcW w:w="7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ip</w:t>
            </w:r>
          </w:p>
        </w:tc>
        <w:tc>
          <w:tcPr>
            <w:tcW w:w="694"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sp500</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loans</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p</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350" w:dyaOrig="260">
                <v:shape id="_x0000_i1104" type="#_x0000_t75" style="width:17.55pt;height:13.15pt" o:ole="">
                  <v:imagedata r:id="rId27" o:title=""/>
                </v:shape>
                <o:OLEObject Type="Embed" ProgID="Equation.DSMT4" ShapeID="_x0000_i1104" DrawAspect="Content" ObjectID="_1707118203" r:id="rId185"/>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410" w:dyaOrig="260">
                <v:shape id="_x0000_i1105" type="#_x0000_t75" style="width:20.65pt;height:13.15pt" o:ole="">
                  <v:imagedata r:id="rId29" o:title=""/>
                </v:shape>
                <o:OLEObject Type="Embed" ProgID="Equation.DSMT4" ShapeID="_x0000_i1105" DrawAspect="Content" ObjectID="_1707118204" r:id="rId186"/>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400" w:dyaOrig="260">
                <v:shape id="_x0000_i1106" type="#_x0000_t75" style="width:20.05pt;height:13.15pt" o:ole="">
                  <v:imagedata r:id="rId31" o:title=""/>
                </v:shape>
                <o:OLEObject Type="Embed" ProgID="Equation.DSMT4" ShapeID="_x0000_i1106" DrawAspect="Content" ObjectID="_1707118205" r:id="rId187"/>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EPU</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33"/>
                <w:szCs w:val="33"/>
                <w:vertAlign w:val="subscript"/>
              </w:rPr>
              <w:object w:dxaOrig="440" w:dyaOrig="280">
                <v:shape id="_x0000_i1107" type="#_x0000_t75" style="width:21.9pt;height:13.75pt" o:ole="">
                  <v:imagedata r:id="rId33" o:title=""/>
                </v:shape>
                <o:OLEObject Type="Embed" ProgID="Equation.DSMT4" ShapeID="_x0000_i1107" DrawAspect="Content" ObjectID="_1707118206" r:id="rId188"/>
              </w:object>
            </w:r>
          </w:p>
        </w:tc>
        <w:tc>
          <w:tcPr>
            <w:tcW w:w="670"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33"/>
                <w:szCs w:val="33"/>
                <w:vertAlign w:val="subscript"/>
              </w:rPr>
              <w:object w:dxaOrig="410" w:dyaOrig="280">
                <v:shape id="_x0000_i1108" type="#_x0000_t75" style="width:20.65pt;height:13.75pt" o:ole="">
                  <v:imagedata r:id="rId35" o:title=""/>
                </v:shape>
                <o:OLEObject Type="Embed" ProgID="Equation.DSMT4" ShapeID="_x0000_i1108" DrawAspect="Content" ObjectID="_1707118207" r:id="rId189"/>
              </w:object>
            </w:r>
          </w:p>
        </w:tc>
      </w:tr>
      <w:tr w:rsidR="00222F36">
        <w:trPr>
          <w:trHeight w:val="288"/>
          <w:jc w:val="center"/>
        </w:trPr>
        <w:tc>
          <w:tcPr>
            <w:tcW w:w="788"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w:t>
            </w:r>
          </w:p>
        </w:tc>
        <w:tc>
          <w:tcPr>
            <w:tcW w:w="7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1.14</w:t>
            </w:r>
          </w:p>
        </w:tc>
        <w:tc>
          <w:tcPr>
            <w:tcW w:w="694"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0.21</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1.11</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0.83</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96.60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70"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1.39</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1.18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0.93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1.34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94.82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0.25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0.02</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1.60</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1.68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1.15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1.96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92.99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0.54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0.02</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1.84</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2.06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1.44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2.56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91.03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0.92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0.01</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0.02</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lastRenderedPageBreak/>
              <w:t>5</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2.06</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2.33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1.76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3.13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89.15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1.29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0.02</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0.01</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3.18</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3.39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2.94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5.07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82.13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2.13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0.39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0.16</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0.01</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15</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4.06</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4.38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3.67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6.03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77.66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0.86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2.25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0.76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0.32</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0.01</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20</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4.62</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5.16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4.12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6.61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74.76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0.96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2.24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0.45</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0.02</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222F36">
            <w:pPr>
              <w:spacing w:line="240" w:lineRule="auto"/>
              <w:jc w:val="center"/>
              <w:rPr>
                <w:color w:val="000000"/>
                <w:sz w:val="20"/>
                <w:szCs w:val="20"/>
              </w:rPr>
            </w:pPr>
          </w:p>
        </w:tc>
        <w:tc>
          <w:tcPr>
            <w:tcW w:w="7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94"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70"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r>
      <w:tr w:rsidR="00222F36">
        <w:trPr>
          <w:trHeight w:val="288"/>
          <w:jc w:val="center"/>
        </w:trPr>
        <w:tc>
          <w:tcPr>
            <w:tcW w:w="7580" w:type="dxa"/>
            <w:gridSpan w:val="11"/>
            <w:tcBorders>
              <w:top w:val="nil"/>
              <w:left w:val="nil"/>
              <w:right w:val="nil"/>
            </w:tcBorders>
            <w:shd w:val="clear" w:color="auto" w:fill="auto"/>
            <w:vAlign w:val="center"/>
          </w:tcPr>
          <w:p w:rsidR="00222F36" w:rsidRDefault="000B682F">
            <w:pPr>
              <w:spacing w:line="240" w:lineRule="auto"/>
              <w:jc w:val="center"/>
              <w:rPr>
                <w:sz w:val="20"/>
                <w:szCs w:val="20"/>
              </w:rPr>
            </w:pPr>
            <w:r>
              <w:rPr>
                <w:color w:val="000000"/>
                <w:sz w:val="20"/>
                <w:szCs w:val="20"/>
              </w:rPr>
              <w:t xml:space="preserve">Variance Decomposition of </w:t>
            </w:r>
            <w:r>
              <w:rPr>
                <w:color w:val="000000"/>
                <w:sz w:val="20"/>
                <w:szCs w:val="20"/>
              </w:rPr>
              <w:object w:dxaOrig="400" w:dyaOrig="260">
                <v:shape id="_x0000_i1109" type="#_x0000_t75" style="width:20.05pt;height:13.15pt" o:ole="">
                  <v:imagedata r:id="rId190" o:title=""/>
                </v:shape>
                <o:OLEObject Type="Embed" ProgID="Equation.DSMT4" ShapeID="_x0000_i1109" DrawAspect="Content" ObjectID="_1707118208" r:id="rId191"/>
              </w:object>
            </w:r>
          </w:p>
        </w:tc>
      </w:tr>
      <w:tr w:rsidR="00222F36">
        <w:trPr>
          <w:trHeight w:val="288"/>
          <w:jc w:val="center"/>
        </w:trPr>
        <w:tc>
          <w:tcPr>
            <w:tcW w:w="788"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Period</w:t>
            </w:r>
          </w:p>
        </w:tc>
        <w:tc>
          <w:tcPr>
            <w:tcW w:w="7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ip</w:t>
            </w:r>
          </w:p>
        </w:tc>
        <w:tc>
          <w:tcPr>
            <w:tcW w:w="694"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sp500</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loans</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p</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350" w:dyaOrig="260">
                <v:shape id="_x0000_i1110" type="#_x0000_t75" style="width:17.55pt;height:13.15pt" o:ole="">
                  <v:imagedata r:id="rId27" o:title=""/>
                </v:shape>
                <o:OLEObject Type="Embed" ProgID="Equation.DSMT4" ShapeID="_x0000_i1110" DrawAspect="Content" ObjectID="_1707118209" r:id="rId192"/>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410" w:dyaOrig="260">
                <v:shape id="_x0000_i1111" type="#_x0000_t75" style="width:20.65pt;height:13.15pt" o:ole="">
                  <v:imagedata r:id="rId29" o:title=""/>
                </v:shape>
                <o:OLEObject Type="Embed" ProgID="Equation.DSMT4" ShapeID="_x0000_i1111" DrawAspect="Content" ObjectID="_1707118210" r:id="rId193"/>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400" w:dyaOrig="260">
                <v:shape id="_x0000_i1112" type="#_x0000_t75" style="width:20.05pt;height:13.15pt" o:ole="">
                  <v:imagedata r:id="rId31" o:title=""/>
                </v:shape>
                <o:OLEObject Type="Embed" ProgID="Equation.DSMT4" ShapeID="_x0000_i1112" DrawAspect="Content" ObjectID="_1707118211" r:id="rId194"/>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EPU</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33"/>
                <w:szCs w:val="33"/>
                <w:vertAlign w:val="subscript"/>
              </w:rPr>
              <w:object w:dxaOrig="440" w:dyaOrig="280">
                <v:shape id="_x0000_i1113" type="#_x0000_t75" style="width:21.9pt;height:13.75pt" o:ole="">
                  <v:imagedata r:id="rId33" o:title=""/>
                </v:shape>
                <o:OLEObject Type="Embed" ProgID="Equation.DSMT4" ShapeID="_x0000_i1113" DrawAspect="Content" ObjectID="_1707118212" r:id="rId195"/>
              </w:object>
            </w:r>
          </w:p>
        </w:tc>
        <w:tc>
          <w:tcPr>
            <w:tcW w:w="670"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33"/>
                <w:szCs w:val="33"/>
                <w:vertAlign w:val="subscript"/>
              </w:rPr>
              <w:object w:dxaOrig="410" w:dyaOrig="280">
                <v:shape id="_x0000_i1114" type="#_x0000_t75" style="width:20.65pt;height:13.75pt" o:ole="">
                  <v:imagedata r:id="rId35" o:title=""/>
                </v:shape>
                <o:OLEObject Type="Embed" ProgID="Equation.DSMT4" ShapeID="_x0000_i1114" DrawAspect="Content" ObjectID="_1707118213" r:id="rId196"/>
              </w:object>
            </w:r>
          </w:p>
        </w:tc>
      </w:tr>
      <w:tr w:rsidR="00222F36">
        <w:trPr>
          <w:trHeight w:val="288"/>
          <w:jc w:val="center"/>
        </w:trPr>
        <w:tc>
          <w:tcPr>
            <w:tcW w:w="788"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w:t>
            </w:r>
          </w:p>
        </w:tc>
        <w:tc>
          <w:tcPr>
            <w:tcW w:w="7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5.95</w:t>
            </w:r>
          </w:p>
        </w:tc>
        <w:tc>
          <w:tcPr>
            <w:tcW w:w="694"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21.43</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0.80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0.04</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0.02</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1.20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70.57</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70"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12.85</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22.95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0.31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0.20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1.59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60.83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0.87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0.15</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0.17</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17.61</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25.79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1.97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50.04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1.58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0.86</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1.19</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19.54</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27.29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1.53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0.59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2.53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41.77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1.78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1.72</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2.58</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19.84</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27.67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2.27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1.47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1.36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3.44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36.42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1.79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2.36</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3.38</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18.81</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25.50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2.62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3.80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3.29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10.82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26.73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1.71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4.09</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2.63</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15</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17.92</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22.81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2.22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4.39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3.78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16.46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22.88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1.50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6.04</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2.01</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20</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17.03</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20.70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1.90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4.53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4.00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20.39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20.82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1.26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7.74</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1.63</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222F36">
            <w:pPr>
              <w:spacing w:line="240" w:lineRule="auto"/>
              <w:jc w:val="center"/>
              <w:rPr>
                <w:color w:val="000000"/>
                <w:sz w:val="20"/>
                <w:szCs w:val="20"/>
              </w:rPr>
            </w:pPr>
          </w:p>
        </w:tc>
        <w:tc>
          <w:tcPr>
            <w:tcW w:w="7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94"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70"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r>
      <w:tr w:rsidR="00222F36">
        <w:trPr>
          <w:trHeight w:val="288"/>
          <w:jc w:val="center"/>
        </w:trPr>
        <w:tc>
          <w:tcPr>
            <w:tcW w:w="7580" w:type="dxa"/>
            <w:gridSpan w:val="11"/>
            <w:tcBorders>
              <w:top w:val="nil"/>
              <w:left w:val="nil"/>
              <w:right w:val="nil"/>
            </w:tcBorders>
            <w:shd w:val="clear" w:color="auto" w:fill="auto"/>
            <w:vAlign w:val="center"/>
          </w:tcPr>
          <w:p w:rsidR="00222F36" w:rsidRDefault="000B682F">
            <w:pPr>
              <w:spacing w:line="240" w:lineRule="auto"/>
              <w:jc w:val="center"/>
              <w:rPr>
                <w:sz w:val="20"/>
                <w:szCs w:val="20"/>
              </w:rPr>
            </w:pPr>
            <w:r>
              <w:rPr>
                <w:color w:val="000000"/>
                <w:sz w:val="20"/>
                <w:szCs w:val="20"/>
              </w:rPr>
              <w:t xml:space="preserve">Variance Decomposition of </w:t>
            </w:r>
            <w:r>
              <w:rPr>
                <w:color w:val="000000"/>
                <w:sz w:val="33"/>
                <w:szCs w:val="33"/>
                <w:vertAlign w:val="subscript"/>
              </w:rPr>
              <w:object w:dxaOrig="500" w:dyaOrig="240">
                <v:shape id="_x0000_i1115" type="#_x0000_t75" style="width:25.05pt;height:11.9pt" o:ole="">
                  <v:imagedata r:id="rId197" o:title=""/>
                </v:shape>
                <o:OLEObject Type="Embed" ProgID="Equation.DSMT4" ShapeID="_x0000_i1115" DrawAspect="Content" ObjectID="_1707118214" r:id="rId198"/>
              </w:object>
            </w:r>
          </w:p>
        </w:tc>
      </w:tr>
      <w:tr w:rsidR="00222F36">
        <w:trPr>
          <w:trHeight w:val="288"/>
          <w:jc w:val="center"/>
        </w:trPr>
        <w:tc>
          <w:tcPr>
            <w:tcW w:w="788"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Period</w:t>
            </w:r>
          </w:p>
        </w:tc>
        <w:tc>
          <w:tcPr>
            <w:tcW w:w="7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ip</w:t>
            </w:r>
          </w:p>
        </w:tc>
        <w:tc>
          <w:tcPr>
            <w:tcW w:w="694"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sp500</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loans</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p</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350" w:dyaOrig="260">
                <v:shape id="_x0000_i1116" type="#_x0000_t75" style="width:17.55pt;height:13.15pt" o:ole="">
                  <v:imagedata r:id="rId27" o:title=""/>
                </v:shape>
                <o:OLEObject Type="Embed" ProgID="Equation.DSMT4" ShapeID="_x0000_i1116" DrawAspect="Content" ObjectID="_1707118215" r:id="rId199"/>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410" w:dyaOrig="260">
                <v:shape id="_x0000_i1117" type="#_x0000_t75" style="width:20.65pt;height:13.15pt" o:ole="">
                  <v:imagedata r:id="rId29" o:title=""/>
                </v:shape>
                <o:OLEObject Type="Embed" ProgID="Equation.DSMT4" ShapeID="_x0000_i1117" DrawAspect="Content" ObjectID="_1707118216" r:id="rId200"/>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400" w:dyaOrig="260">
                <v:shape id="_x0000_i1118" type="#_x0000_t75" style="width:20.05pt;height:13.15pt" o:ole="">
                  <v:imagedata r:id="rId31" o:title=""/>
                </v:shape>
                <o:OLEObject Type="Embed" ProgID="Equation.DSMT4" ShapeID="_x0000_i1118" DrawAspect="Content" ObjectID="_1707118217" r:id="rId201"/>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EPU</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33"/>
                <w:szCs w:val="33"/>
                <w:vertAlign w:val="subscript"/>
              </w:rPr>
              <w:object w:dxaOrig="440" w:dyaOrig="280">
                <v:shape id="_x0000_i1119" type="#_x0000_t75" style="width:21.9pt;height:13.75pt" o:ole="">
                  <v:imagedata r:id="rId33" o:title=""/>
                </v:shape>
                <o:OLEObject Type="Embed" ProgID="Equation.DSMT4" ShapeID="_x0000_i1119" DrawAspect="Content" ObjectID="_1707118218" r:id="rId202"/>
              </w:object>
            </w:r>
          </w:p>
        </w:tc>
        <w:tc>
          <w:tcPr>
            <w:tcW w:w="670"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33"/>
                <w:szCs w:val="33"/>
                <w:vertAlign w:val="subscript"/>
              </w:rPr>
              <w:object w:dxaOrig="410" w:dyaOrig="280">
                <v:shape id="_x0000_i1120" type="#_x0000_t75" style="width:20.65pt;height:13.75pt" o:ole="">
                  <v:imagedata r:id="rId35" o:title=""/>
                </v:shape>
                <o:OLEObject Type="Embed" ProgID="Equation.DSMT4" ShapeID="_x0000_i1120" DrawAspect="Content" ObjectID="_1707118219" r:id="rId203"/>
              </w:object>
            </w:r>
          </w:p>
        </w:tc>
      </w:tr>
      <w:tr w:rsidR="00222F36">
        <w:trPr>
          <w:trHeight w:val="288"/>
          <w:jc w:val="center"/>
        </w:trPr>
        <w:tc>
          <w:tcPr>
            <w:tcW w:w="788"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w:t>
            </w:r>
          </w:p>
        </w:tc>
        <w:tc>
          <w:tcPr>
            <w:tcW w:w="7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0.44</w:t>
            </w:r>
          </w:p>
        </w:tc>
        <w:tc>
          <w:tcPr>
            <w:tcW w:w="694"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0.38</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0.15</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0.24</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0.68</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2.70</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95.41</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c>
          <w:tcPr>
            <w:tcW w:w="670"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3.44</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7.14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0.59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0.58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0.56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0.76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8.00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77.74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0.01</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1.17</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7.78</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8.44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0.51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9.56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69.15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1.50</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1.09</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11.01</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8.50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8.81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63.76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3.48</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1.45</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12.73</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8.12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1.58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0.93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1.12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8.25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59.71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5.22</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1.75</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18.64</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7.17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1.99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1.89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2.25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1.78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8.08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47.51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9.06</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1.63</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15</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22.30</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7.06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1.81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2.21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2.77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4.74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8.84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37.52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10.95</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1.81</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20</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23.62</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6.87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1.55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2.35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3.17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8.38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9.58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30.61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12.02</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1.86</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222F36">
            <w:pPr>
              <w:spacing w:line="240" w:lineRule="auto"/>
              <w:jc w:val="center"/>
              <w:rPr>
                <w:color w:val="000000"/>
                <w:sz w:val="20"/>
                <w:szCs w:val="20"/>
              </w:rPr>
            </w:pPr>
          </w:p>
        </w:tc>
        <w:tc>
          <w:tcPr>
            <w:tcW w:w="7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94"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70"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r>
      <w:tr w:rsidR="00222F36">
        <w:trPr>
          <w:trHeight w:val="288"/>
          <w:jc w:val="center"/>
        </w:trPr>
        <w:tc>
          <w:tcPr>
            <w:tcW w:w="7580" w:type="dxa"/>
            <w:gridSpan w:val="11"/>
            <w:tcBorders>
              <w:top w:val="nil"/>
              <w:left w:val="nil"/>
              <w:right w:val="nil"/>
            </w:tcBorders>
            <w:shd w:val="clear" w:color="auto" w:fill="auto"/>
            <w:vAlign w:val="center"/>
          </w:tcPr>
          <w:p w:rsidR="00222F36" w:rsidRDefault="000B682F">
            <w:pPr>
              <w:spacing w:line="240" w:lineRule="auto"/>
              <w:jc w:val="center"/>
              <w:rPr>
                <w:sz w:val="20"/>
                <w:szCs w:val="20"/>
              </w:rPr>
            </w:pPr>
            <w:r>
              <w:rPr>
                <w:color w:val="000000"/>
                <w:sz w:val="20"/>
                <w:szCs w:val="20"/>
              </w:rPr>
              <w:t xml:space="preserve">Variance Decomposition of </w:t>
            </w:r>
            <w:r>
              <w:rPr>
                <w:color w:val="000000"/>
                <w:sz w:val="33"/>
                <w:szCs w:val="33"/>
                <w:vertAlign w:val="subscript"/>
              </w:rPr>
              <w:object w:dxaOrig="440" w:dyaOrig="280">
                <v:shape id="_x0000_i1121" type="#_x0000_t75" style="width:21.9pt;height:13.75pt" o:ole="">
                  <v:imagedata r:id="rId204" o:title=""/>
                </v:shape>
                <o:OLEObject Type="Embed" ProgID="Equation.DSMT4" ShapeID="_x0000_i1121" DrawAspect="Content" ObjectID="_1707118220" r:id="rId205"/>
              </w:object>
            </w:r>
          </w:p>
        </w:tc>
      </w:tr>
      <w:tr w:rsidR="00222F36">
        <w:trPr>
          <w:trHeight w:val="288"/>
          <w:jc w:val="center"/>
        </w:trPr>
        <w:tc>
          <w:tcPr>
            <w:tcW w:w="788"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Period</w:t>
            </w:r>
          </w:p>
        </w:tc>
        <w:tc>
          <w:tcPr>
            <w:tcW w:w="7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ip</w:t>
            </w:r>
          </w:p>
        </w:tc>
        <w:tc>
          <w:tcPr>
            <w:tcW w:w="694"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sp500</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loans</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p</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350" w:dyaOrig="260">
                <v:shape id="_x0000_i1122" type="#_x0000_t75" style="width:17.55pt;height:13.15pt" o:ole="">
                  <v:imagedata r:id="rId27" o:title=""/>
                </v:shape>
                <o:OLEObject Type="Embed" ProgID="Equation.DSMT4" ShapeID="_x0000_i1122" DrawAspect="Content" ObjectID="_1707118221" r:id="rId206"/>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410" w:dyaOrig="260">
                <v:shape id="_x0000_i1123" type="#_x0000_t75" style="width:20.65pt;height:13.15pt" o:ole="">
                  <v:imagedata r:id="rId29" o:title=""/>
                </v:shape>
                <o:OLEObject Type="Embed" ProgID="Equation.DSMT4" ShapeID="_x0000_i1123" DrawAspect="Content" ObjectID="_1707118222" r:id="rId207"/>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400" w:dyaOrig="260">
                <v:shape id="_x0000_i1124" type="#_x0000_t75" style="width:20.05pt;height:13.15pt" o:ole="">
                  <v:imagedata r:id="rId31" o:title=""/>
                </v:shape>
                <o:OLEObject Type="Embed" ProgID="Equation.DSMT4" ShapeID="_x0000_i1124" DrawAspect="Content" ObjectID="_1707118223" r:id="rId208"/>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EPU</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33"/>
                <w:szCs w:val="33"/>
                <w:vertAlign w:val="subscript"/>
              </w:rPr>
              <w:object w:dxaOrig="440" w:dyaOrig="280">
                <v:shape id="_x0000_i1125" type="#_x0000_t75" style="width:21.9pt;height:13.75pt" o:ole="">
                  <v:imagedata r:id="rId33" o:title=""/>
                </v:shape>
                <o:OLEObject Type="Embed" ProgID="Equation.DSMT4" ShapeID="_x0000_i1125" DrawAspect="Content" ObjectID="_1707118224" r:id="rId209"/>
              </w:object>
            </w:r>
          </w:p>
        </w:tc>
        <w:tc>
          <w:tcPr>
            <w:tcW w:w="670"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33"/>
                <w:szCs w:val="33"/>
                <w:vertAlign w:val="subscript"/>
              </w:rPr>
              <w:object w:dxaOrig="410" w:dyaOrig="280">
                <v:shape id="_x0000_i1126" type="#_x0000_t75" style="width:20.65pt;height:13.75pt" o:ole="">
                  <v:imagedata r:id="rId35" o:title=""/>
                </v:shape>
                <o:OLEObject Type="Embed" ProgID="Equation.DSMT4" ShapeID="_x0000_i1126" DrawAspect="Content" ObjectID="_1707118225" r:id="rId210"/>
              </w:object>
            </w:r>
          </w:p>
        </w:tc>
      </w:tr>
      <w:tr w:rsidR="00222F36">
        <w:trPr>
          <w:trHeight w:val="288"/>
          <w:jc w:val="center"/>
        </w:trPr>
        <w:tc>
          <w:tcPr>
            <w:tcW w:w="788"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w:t>
            </w:r>
          </w:p>
        </w:tc>
        <w:tc>
          <w:tcPr>
            <w:tcW w:w="7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0.32</w:t>
            </w:r>
          </w:p>
        </w:tc>
        <w:tc>
          <w:tcPr>
            <w:tcW w:w="694"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0.01</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0.76</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3.18</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0.05</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0.23</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0.01</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2.41</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93.04</w:t>
            </w:r>
          </w:p>
        </w:tc>
        <w:tc>
          <w:tcPr>
            <w:tcW w:w="670"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0.00</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lastRenderedPageBreak/>
              <w:t>2</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0.29</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1.37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5.73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0.45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0.25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0.50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6.12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85.15</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0.13</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0.31</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1.57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8.31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0.57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0.44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1.42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7.55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78.80</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0.92</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0.26</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0.42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1.59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9.77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0.54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2.51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8.33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73.74</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2.22</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0.26</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0.91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1.72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10.42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0.73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0.55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3.19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8.47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70.54</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3.21</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0.99</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3.67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3.93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9.61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1.76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0.38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3.22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7.21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64.31</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4.91</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15</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1.96</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6.48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5.76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8.40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2.52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0.31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3.39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5.78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59.99</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5.40</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20</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2.74</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8.91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7.01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7.49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3.09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0.32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3.63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4.74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56.65</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5.42</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222F36">
            <w:pPr>
              <w:spacing w:line="240" w:lineRule="auto"/>
              <w:jc w:val="center"/>
              <w:rPr>
                <w:color w:val="000000"/>
                <w:sz w:val="20"/>
                <w:szCs w:val="20"/>
              </w:rPr>
            </w:pPr>
          </w:p>
        </w:tc>
        <w:tc>
          <w:tcPr>
            <w:tcW w:w="7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94"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66"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c>
          <w:tcPr>
            <w:tcW w:w="670" w:type="dxa"/>
            <w:tcBorders>
              <w:top w:val="nil"/>
              <w:left w:val="nil"/>
              <w:bottom w:val="nil"/>
              <w:right w:val="nil"/>
            </w:tcBorders>
            <w:shd w:val="clear" w:color="auto" w:fill="auto"/>
            <w:vAlign w:val="center"/>
          </w:tcPr>
          <w:p w:rsidR="00222F36" w:rsidRDefault="00222F36">
            <w:pPr>
              <w:spacing w:line="240" w:lineRule="auto"/>
              <w:jc w:val="center"/>
              <w:rPr>
                <w:sz w:val="20"/>
                <w:szCs w:val="20"/>
              </w:rPr>
            </w:pPr>
          </w:p>
        </w:tc>
      </w:tr>
      <w:tr w:rsidR="00222F36">
        <w:trPr>
          <w:trHeight w:val="288"/>
          <w:jc w:val="center"/>
        </w:trPr>
        <w:tc>
          <w:tcPr>
            <w:tcW w:w="7580" w:type="dxa"/>
            <w:gridSpan w:val="11"/>
            <w:tcBorders>
              <w:top w:val="nil"/>
              <w:left w:val="nil"/>
              <w:right w:val="nil"/>
            </w:tcBorders>
            <w:shd w:val="clear" w:color="auto" w:fill="auto"/>
            <w:vAlign w:val="center"/>
          </w:tcPr>
          <w:p w:rsidR="00222F36" w:rsidRDefault="000B682F">
            <w:pPr>
              <w:spacing w:line="240" w:lineRule="auto"/>
              <w:jc w:val="center"/>
              <w:rPr>
                <w:sz w:val="20"/>
                <w:szCs w:val="20"/>
              </w:rPr>
            </w:pPr>
            <w:r>
              <w:rPr>
                <w:color w:val="000000"/>
                <w:sz w:val="20"/>
                <w:szCs w:val="20"/>
              </w:rPr>
              <w:t xml:space="preserve">Variance Decomposition of </w:t>
            </w:r>
            <w:r>
              <w:rPr>
                <w:color w:val="000000"/>
                <w:sz w:val="33"/>
                <w:szCs w:val="33"/>
                <w:vertAlign w:val="subscript"/>
              </w:rPr>
              <w:object w:dxaOrig="410" w:dyaOrig="280">
                <v:shape id="_x0000_i1127" type="#_x0000_t75" style="width:20.65pt;height:13.75pt" o:ole="">
                  <v:imagedata r:id="rId211" o:title=""/>
                </v:shape>
                <o:OLEObject Type="Embed" ProgID="Equation.DSMT4" ShapeID="_x0000_i1127" DrawAspect="Content" ObjectID="_1707118226" r:id="rId212"/>
              </w:object>
            </w:r>
          </w:p>
        </w:tc>
      </w:tr>
      <w:tr w:rsidR="00222F36">
        <w:trPr>
          <w:trHeight w:val="288"/>
          <w:jc w:val="center"/>
        </w:trPr>
        <w:tc>
          <w:tcPr>
            <w:tcW w:w="788"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Period</w:t>
            </w:r>
          </w:p>
        </w:tc>
        <w:tc>
          <w:tcPr>
            <w:tcW w:w="7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ip</w:t>
            </w:r>
          </w:p>
        </w:tc>
        <w:tc>
          <w:tcPr>
            <w:tcW w:w="694"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sp500</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loans</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p</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350" w:dyaOrig="260">
                <v:shape id="_x0000_i1128" type="#_x0000_t75" style="width:17.55pt;height:13.15pt" o:ole="">
                  <v:imagedata r:id="rId27" o:title=""/>
                </v:shape>
                <o:OLEObject Type="Embed" ProgID="Equation.DSMT4" ShapeID="_x0000_i1128" DrawAspect="Content" ObjectID="_1707118227" r:id="rId213"/>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410" w:dyaOrig="260">
                <v:shape id="_x0000_i1129" type="#_x0000_t75" style="width:20.65pt;height:13.15pt" o:ole="">
                  <v:imagedata r:id="rId29" o:title=""/>
                </v:shape>
                <o:OLEObject Type="Embed" ProgID="Equation.DSMT4" ShapeID="_x0000_i1129" DrawAspect="Content" ObjectID="_1707118228" r:id="rId214"/>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object w:dxaOrig="400" w:dyaOrig="260">
                <v:shape id="_x0000_i1130" type="#_x0000_t75" style="width:20.05pt;height:13.15pt" o:ole="">
                  <v:imagedata r:id="rId31" o:title=""/>
                </v:shape>
                <o:OLEObject Type="Embed" ProgID="Equation.DSMT4" ShapeID="_x0000_i1130" DrawAspect="Content" ObjectID="_1707118229" r:id="rId215"/>
              </w:objec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i/>
                <w:color w:val="000000"/>
                <w:sz w:val="20"/>
                <w:szCs w:val="20"/>
              </w:rPr>
            </w:pPr>
            <w:r>
              <w:rPr>
                <w:i/>
                <w:color w:val="000000"/>
                <w:sz w:val="20"/>
                <w:szCs w:val="20"/>
              </w:rPr>
              <w:t>EPU</w:t>
            </w:r>
          </w:p>
        </w:tc>
        <w:tc>
          <w:tcPr>
            <w:tcW w:w="666"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33"/>
                <w:szCs w:val="33"/>
                <w:vertAlign w:val="subscript"/>
              </w:rPr>
              <w:object w:dxaOrig="440" w:dyaOrig="280">
                <v:shape id="_x0000_i1131" type="#_x0000_t75" style="width:21.9pt;height:13.75pt" o:ole="">
                  <v:imagedata r:id="rId33" o:title=""/>
                </v:shape>
                <o:OLEObject Type="Embed" ProgID="Equation.DSMT4" ShapeID="_x0000_i1131" DrawAspect="Content" ObjectID="_1707118230" r:id="rId216"/>
              </w:object>
            </w:r>
          </w:p>
        </w:tc>
        <w:tc>
          <w:tcPr>
            <w:tcW w:w="670" w:type="dxa"/>
            <w:tcBorders>
              <w:top w:val="nil"/>
              <w:left w:val="nil"/>
              <w:bottom w:val="single" w:sz="4" w:space="0" w:color="000000"/>
              <w:right w:val="nil"/>
            </w:tcBorders>
            <w:shd w:val="clear" w:color="auto" w:fill="auto"/>
            <w:vAlign w:val="center"/>
          </w:tcPr>
          <w:p w:rsidR="00222F36" w:rsidRDefault="000B682F">
            <w:pPr>
              <w:spacing w:line="240" w:lineRule="auto"/>
              <w:jc w:val="center"/>
              <w:rPr>
                <w:color w:val="000000"/>
                <w:sz w:val="20"/>
                <w:szCs w:val="20"/>
              </w:rPr>
            </w:pPr>
            <w:r>
              <w:rPr>
                <w:color w:val="000000"/>
                <w:sz w:val="33"/>
                <w:szCs w:val="33"/>
                <w:vertAlign w:val="subscript"/>
              </w:rPr>
              <w:object w:dxaOrig="410" w:dyaOrig="280">
                <v:shape id="_x0000_i1132" type="#_x0000_t75" style="width:20.65pt;height:13.75pt" o:ole="">
                  <v:imagedata r:id="rId35" o:title=""/>
                </v:shape>
                <o:OLEObject Type="Embed" ProgID="Equation.DSMT4" ShapeID="_x0000_i1132" DrawAspect="Content" ObjectID="_1707118231" r:id="rId217"/>
              </w:object>
            </w:r>
          </w:p>
        </w:tc>
      </w:tr>
      <w:tr w:rsidR="00222F36">
        <w:trPr>
          <w:trHeight w:val="288"/>
          <w:jc w:val="center"/>
        </w:trPr>
        <w:tc>
          <w:tcPr>
            <w:tcW w:w="788"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w:t>
            </w:r>
          </w:p>
        </w:tc>
        <w:tc>
          <w:tcPr>
            <w:tcW w:w="7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1.91</w:t>
            </w:r>
          </w:p>
        </w:tc>
        <w:tc>
          <w:tcPr>
            <w:tcW w:w="694"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5.03</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4.86</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0.14</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0.02</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1.89</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0.45</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0.65</w:t>
            </w:r>
          </w:p>
        </w:tc>
        <w:tc>
          <w:tcPr>
            <w:tcW w:w="666"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6.63</w:t>
            </w:r>
          </w:p>
        </w:tc>
        <w:tc>
          <w:tcPr>
            <w:tcW w:w="670" w:type="dxa"/>
            <w:tcBorders>
              <w:top w:val="single" w:sz="4" w:space="0" w:color="000000"/>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78.42</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3.61</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4.82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3.70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1.40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1.14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11.54</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72.98</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4.73</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4.56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3.69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0.07</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1.15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1.42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15.81</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67.80</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6.01</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4.25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3.92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1.00</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1.51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18.49</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63.91</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7.40</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3.92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4.12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0.12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0.91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1.45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0.75</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20.14</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61.04</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12.11</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2.74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4.76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0.33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0.32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1.01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0.74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23.10</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53.80</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15</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14.40</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2.32</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5.26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0.31</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2.03</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0.79</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0.58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23.72</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49.92</w:t>
            </w:r>
          </w:p>
        </w:tc>
      </w:tr>
      <w:tr w:rsidR="00222F36">
        <w:trPr>
          <w:trHeight w:val="288"/>
          <w:jc w:val="center"/>
        </w:trPr>
        <w:tc>
          <w:tcPr>
            <w:tcW w:w="788"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20</w:t>
            </w:r>
          </w:p>
        </w:tc>
        <w:tc>
          <w:tcPr>
            <w:tcW w:w="7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15.75</w:t>
            </w:r>
          </w:p>
        </w:tc>
        <w:tc>
          <w:tcPr>
            <w:tcW w:w="694"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2.16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5.44</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0.28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0.96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3.36</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0.68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0.48</w:t>
            </w:r>
          </w:p>
        </w:tc>
        <w:tc>
          <w:tcPr>
            <w:tcW w:w="666"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23.75</w:t>
            </w:r>
          </w:p>
        </w:tc>
        <w:tc>
          <w:tcPr>
            <w:tcW w:w="670" w:type="dxa"/>
            <w:tcBorders>
              <w:top w:val="nil"/>
              <w:left w:val="nil"/>
              <w:bottom w:val="nil"/>
              <w:right w:val="nil"/>
            </w:tcBorders>
            <w:shd w:val="clear" w:color="auto" w:fill="auto"/>
            <w:vAlign w:val="center"/>
          </w:tcPr>
          <w:p w:rsidR="00222F36" w:rsidRDefault="000B682F">
            <w:pPr>
              <w:spacing w:line="240" w:lineRule="auto"/>
              <w:jc w:val="center"/>
              <w:rPr>
                <w:color w:val="000000"/>
                <w:sz w:val="20"/>
                <w:szCs w:val="20"/>
              </w:rPr>
            </w:pPr>
            <w:r>
              <w:rPr>
                <w:color w:val="000000"/>
                <w:sz w:val="20"/>
                <w:szCs w:val="20"/>
              </w:rPr>
              <w:t>47.15</w:t>
            </w:r>
          </w:p>
        </w:tc>
      </w:tr>
    </w:tbl>
    <w:p w:rsidR="00222F36" w:rsidRDefault="00222F36">
      <w:pPr>
        <w:jc w:val="center"/>
      </w:pPr>
    </w:p>
    <w:p w:rsidR="00222F36" w:rsidRDefault="00222F36"/>
    <w:p w:rsidR="00222F36" w:rsidRDefault="000B682F">
      <w:r>
        <w:t xml:space="preserve">The following figures depict the impulse response function for each identified shock on all variables. </w:t>
      </w:r>
    </w:p>
    <w:p w:rsidR="00222F36" w:rsidRDefault="000B682F">
      <w:pPr>
        <w:jc w:val="left"/>
      </w:pPr>
      <w:r>
        <w:br w:type="page"/>
      </w:r>
    </w:p>
    <w:p w:rsidR="00222F36" w:rsidRDefault="000B682F">
      <w:pPr>
        <w:rPr>
          <w:b/>
        </w:rPr>
      </w:pPr>
      <w:r>
        <w:rPr>
          <w:b/>
        </w:rPr>
        <w:lastRenderedPageBreak/>
        <w:t>A.2 Impulse Response Functions</w:t>
      </w:r>
    </w:p>
    <w:p w:rsidR="00222F36" w:rsidRDefault="00222F36"/>
    <w:p w:rsidR="00222F36" w:rsidRDefault="000B682F">
      <w:pPr>
        <w:jc w:val="center"/>
        <w:rPr>
          <w:b/>
        </w:rPr>
      </w:pPr>
      <w:r>
        <w:rPr>
          <w:b/>
        </w:rPr>
        <w:t>Figure A6: Impulse Response of Industrial Production Shock</w:t>
      </w:r>
    </w:p>
    <w:p w:rsidR="00222F36" w:rsidRDefault="000B682F">
      <w:pPr>
        <w:jc w:val="center"/>
      </w:pPr>
      <w:r>
        <w:rPr>
          <w:noProof/>
          <w:lang w:eastAsia="en-GB"/>
        </w:rPr>
        <w:drawing>
          <wp:inline distT="0" distB="0" distL="0" distR="0">
            <wp:extent cx="5480685" cy="5480685"/>
            <wp:effectExtent l="0" t="0" r="0" b="0"/>
            <wp:docPr id="55"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218"/>
                    <a:srcRect/>
                    <a:stretch>
                      <a:fillRect/>
                    </a:stretch>
                  </pic:blipFill>
                  <pic:spPr>
                    <a:xfrm>
                      <a:off x="0" y="0"/>
                      <a:ext cx="5480685" cy="5480685"/>
                    </a:xfrm>
                    <a:prstGeom prst="rect">
                      <a:avLst/>
                    </a:prstGeom>
                    <a:ln/>
                  </pic:spPr>
                </pic:pic>
              </a:graphicData>
            </a:graphic>
          </wp:inline>
        </w:drawing>
      </w:r>
    </w:p>
    <w:p w:rsidR="00222F36" w:rsidRDefault="000B682F">
      <w:pPr>
        <w:pBdr>
          <w:top w:val="single" w:sz="4" w:space="1" w:color="000000"/>
        </w:pBdr>
        <w:rPr>
          <w:sz w:val="16"/>
          <w:szCs w:val="16"/>
        </w:rPr>
      </w:pPr>
      <w:r>
        <w:rPr>
          <w:sz w:val="20"/>
          <w:szCs w:val="20"/>
        </w:rPr>
        <w:t xml:space="preserve">* </w:t>
      </w:r>
      <w:r>
        <w:rPr>
          <w:sz w:val="16"/>
          <w:szCs w:val="16"/>
        </w:rPr>
        <w:t xml:space="preserve">The solid lines represent the mean impulse response of the selected variables to a one standard deviation shock to the business-sentiment shock. The business sentiment shock was obtained from ordering the WSJ sentiment series last in a ten variable vector error correction model. The dashed lines represent a 95% bootstrapped confidence interval using 1000 bootstrap replications using the method of Hall. </w:t>
      </w:r>
    </w:p>
    <w:p w:rsidR="00222F36" w:rsidRDefault="000B682F">
      <w:pPr>
        <w:jc w:val="left"/>
      </w:pPr>
      <w:r>
        <w:br w:type="page"/>
      </w:r>
    </w:p>
    <w:p w:rsidR="00222F36" w:rsidRDefault="000B682F">
      <w:pPr>
        <w:jc w:val="center"/>
        <w:rPr>
          <w:b/>
        </w:rPr>
      </w:pPr>
      <w:r>
        <w:rPr>
          <w:b/>
        </w:rPr>
        <w:lastRenderedPageBreak/>
        <w:t>Figure A7: Impulse Response of S&amp;P 500 Stock Index Shock</w:t>
      </w:r>
    </w:p>
    <w:p w:rsidR="00222F36" w:rsidRDefault="000B682F">
      <w:pPr>
        <w:jc w:val="center"/>
      </w:pPr>
      <w:r>
        <w:rPr>
          <w:noProof/>
          <w:lang w:eastAsia="en-GB"/>
        </w:rPr>
        <w:drawing>
          <wp:inline distT="0" distB="0" distL="0" distR="0">
            <wp:extent cx="5480685" cy="5480685"/>
            <wp:effectExtent l="0" t="0" r="0" b="0"/>
            <wp:docPr id="52"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219"/>
                    <a:srcRect/>
                    <a:stretch>
                      <a:fillRect/>
                    </a:stretch>
                  </pic:blipFill>
                  <pic:spPr>
                    <a:xfrm>
                      <a:off x="0" y="0"/>
                      <a:ext cx="5480685" cy="5480685"/>
                    </a:xfrm>
                    <a:prstGeom prst="rect">
                      <a:avLst/>
                    </a:prstGeom>
                    <a:ln/>
                  </pic:spPr>
                </pic:pic>
              </a:graphicData>
            </a:graphic>
          </wp:inline>
        </w:drawing>
      </w:r>
    </w:p>
    <w:p w:rsidR="00222F36" w:rsidRDefault="000B682F">
      <w:pPr>
        <w:pBdr>
          <w:top w:val="single" w:sz="4" w:space="1" w:color="000000"/>
        </w:pBdr>
        <w:rPr>
          <w:sz w:val="16"/>
          <w:szCs w:val="16"/>
        </w:rPr>
      </w:pPr>
      <w:r>
        <w:rPr>
          <w:sz w:val="20"/>
          <w:szCs w:val="20"/>
        </w:rPr>
        <w:t xml:space="preserve">* </w:t>
      </w:r>
      <w:r>
        <w:rPr>
          <w:sz w:val="16"/>
          <w:szCs w:val="16"/>
        </w:rPr>
        <w:t xml:space="preserve">The solid lines represent the mean impulse response of the selected variables to a one standard deviation shock to the business-sentiment shock. The business sentiment shock was obtained from ordering the WSJ sentiment series last in a ten variable vector error correction model. The dashed lines represent a 95% bootstrapped confidence interval using 1000 bootstrap replications using the method of Hall. </w:t>
      </w:r>
    </w:p>
    <w:p w:rsidR="00222F36" w:rsidRDefault="000B682F">
      <w:pPr>
        <w:jc w:val="left"/>
      </w:pPr>
      <w:r>
        <w:br w:type="page"/>
      </w:r>
    </w:p>
    <w:p w:rsidR="00222F36" w:rsidRDefault="000B682F">
      <w:pPr>
        <w:jc w:val="center"/>
        <w:rPr>
          <w:b/>
        </w:rPr>
      </w:pPr>
      <w:r>
        <w:rPr>
          <w:b/>
        </w:rPr>
        <w:lastRenderedPageBreak/>
        <w:t>Figure A8: Impulse Response Function of Loans Shock</w:t>
      </w:r>
    </w:p>
    <w:p w:rsidR="00222F36" w:rsidRDefault="000B682F">
      <w:pPr>
        <w:jc w:val="center"/>
      </w:pPr>
      <w:r>
        <w:rPr>
          <w:noProof/>
          <w:lang w:eastAsia="en-GB"/>
        </w:rPr>
        <w:drawing>
          <wp:inline distT="0" distB="0" distL="0" distR="0">
            <wp:extent cx="5480685" cy="5480685"/>
            <wp:effectExtent l="0" t="0" r="0" b="0"/>
            <wp:docPr id="51"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220"/>
                    <a:srcRect/>
                    <a:stretch>
                      <a:fillRect/>
                    </a:stretch>
                  </pic:blipFill>
                  <pic:spPr>
                    <a:xfrm>
                      <a:off x="0" y="0"/>
                      <a:ext cx="5480685" cy="5480685"/>
                    </a:xfrm>
                    <a:prstGeom prst="rect">
                      <a:avLst/>
                    </a:prstGeom>
                    <a:ln/>
                  </pic:spPr>
                </pic:pic>
              </a:graphicData>
            </a:graphic>
          </wp:inline>
        </w:drawing>
      </w:r>
    </w:p>
    <w:p w:rsidR="00222F36" w:rsidRDefault="000B682F">
      <w:pPr>
        <w:pBdr>
          <w:top w:val="single" w:sz="4" w:space="1" w:color="000000"/>
        </w:pBdr>
        <w:rPr>
          <w:sz w:val="16"/>
          <w:szCs w:val="16"/>
        </w:rPr>
      </w:pPr>
      <w:r>
        <w:rPr>
          <w:sz w:val="20"/>
          <w:szCs w:val="20"/>
        </w:rPr>
        <w:t xml:space="preserve">* </w:t>
      </w:r>
      <w:r>
        <w:rPr>
          <w:sz w:val="16"/>
          <w:szCs w:val="16"/>
        </w:rPr>
        <w:t xml:space="preserve">The solid lines represent the mean impulse response of the selected variables to a one standard deviation shock to the business-sentiment shock. The business sentiment shock was obtained from ordering the WSJ sentiment series last in a ten variable vector error correction model. The dashed lines represent a 95% bootstrapped confidence interval using 1000 bootstrap replications using the method of Hall. </w:t>
      </w:r>
    </w:p>
    <w:p w:rsidR="00222F36" w:rsidRDefault="00222F36">
      <w:pPr>
        <w:jc w:val="left"/>
      </w:pPr>
    </w:p>
    <w:p w:rsidR="00222F36" w:rsidRDefault="000B682F">
      <w:pPr>
        <w:jc w:val="left"/>
        <w:rPr>
          <w:b/>
        </w:rPr>
      </w:pPr>
      <w:r>
        <w:br w:type="page"/>
      </w:r>
    </w:p>
    <w:p w:rsidR="00222F36" w:rsidRDefault="000B682F">
      <w:pPr>
        <w:jc w:val="center"/>
        <w:rPr>
          <w:b/>
        </w:rPr>
      </w:pPr>
      <w:r>
        <w:rPr>
          <w:b/>
        </w:rPr>
        <w:lastRenderedPageBreak/>
        <w:t>Figure A9: Impulse Response Function of Price Shock</w:t>
      </w:r>
    </w:p>
    <w:p w:rsidR="00222F36" w:rsidRDefault="000B682F">
      <w:pPr>
        <w:jc w:val="center"/>
      </w:pPr>
      <w:r>
        <w:rPr>
          <w:noProof/>
          <w:lang w:eastAsia="en-GB"/>
        </w:rPr>
        <w:drawing>
          <wp:inline distT="0" distB="0" distL="0" distR="0">
            <wp:extent cx="5480685" cy="5480685"/>
            <wp:effectExtent l="0" t="0" r="0" b="0"/>
            <wp:docPr id="54"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221"/>
                    <a:srcRect/>
                    <a:stretch>
                      <a:fillRect/>
                    </a:stretch>
                  </pic:blipFill>
                  <pic:spPr>
                    <a:xfrm>
                      <a:off x="0" y="0"/>
                      <a:ext cx="5480685" cy="5480685"/>
                    </a:xfrm>
                    <a:prstGeom prst="rect">
                      <a:avLst/>
                    </a:prstGeom>
                    <a:ln/>
                  </pic:spPr>
                </pic:pic>
              </a:graphicData>
            </a:graphic>
          </wp:inline>
        </w:drawing>
      </w:r>
    </w:p>
    <w:p w:rsidR="00222F36" w:rsidRDefault="000B682F">
      <w:pPr>
        <w:pBdr>
          <w:top w:val="single" w:sz="4" w:space="1" w:color="000000"/>
        </w:pBdr>
        <w:rPr>
          <w:sz w:val="16"/>
          <w:szCs w:val="16"/>
        </w:rPr>
      </w:pPr>
      <w:r>
        <w:rPr>
          <w:sz w:val="20"/>
          <w:szCs w:val="20"/>
        </w:rPr>
        <w:t xml:space="preserve">* </w:t>
      </w:r>
      <w:r>
        <w:rPr>
          <w:sz w:val="16"/>
          <w:szCs w:val="16"/>
        </w:rPr>
        <w:t xml:space="preserve">The solid lines represent the mean impulse response of the selected variables to a one standard deviation shock to the business-sentiment shock. The business sentiment shock was obtained from ordering the WSJ sentiment series last in a ten variable vector error correction model. The dashed lines represent a 95% bootstrapped confidence interval using 1000 bootstrap replications using the method of Hall. </w:t>
      </w:r>
    </w:p>
    <w:p w:rsidR="00222F36" w:rsidRDefault="000B682F">
      <w:pPr>
        <w:jc w:val="left"/>
      </w:pPr>
      <w:r>
        <w:br w:type="page"/>
      </w:r>
    </w:p>
    <w:p w:rsidR="00222F36" w:rsidRDefault="000B682F">
      <w:pPr>
        <w:jc w:val="center"/>
        <w:rPr>
          <w:b/>
        </w:rPr>
      </w:pPr>
      <w:r>
        <w:rPr>
          <w:b/>
        </w:rPr>
        <w:lastRenderedPageBreak/>
        <w:t>Figure A10: Impulse Response Function of a Short Term Interest Rate Shock</w:t>
      </w:r>
    </w:p>
    <w:p w:rsidR="00222F36" w:rsidRDefault="000B682F">
      <w:pPr>
        <w:jc w:val="center"/>
      </w:pPr>
      <w:r>
        <w:rPr>
          <w:noProof/>
          <w:lang w:eastAsia="en-GB"/>
        </w:rPr>
        <w:drawing>
          <wp:inline distT="0" distB="0" distL="0" distR="0">
            <wp:extent cx="5480685" cy="5480685"/>
            <wp:effectExtent l="0" t="0" r="0" b="0"/>
            <wp:docPr id="53"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222"/>
                    <a:srcRect/>
                    <a:stretch>
                      <a:fillRect/>
                    </a:stretch>
                  </pic:blipFill>
                  <pic:spPr>
                    <a:xfrm>
                      <a:off x="0" y="0"/>
                      <a:ext cx="5480685" cy="5480685"/>
                    </a:xfrm>
                    <a:prstGeom prst="rect">
                      <a:avLst/>
                    </a:prstGeom>
                    <a:ln/>
                  </pic:spPr>
                </pic:pic>
              </a:graphicData>
            </a:graphic>
          </wp:inline>
        </w:drawing>
      </w:r>
    </w:p>
    <w:p w:rsidR="00222F36" w:rsidRDefault="000B682F">
      <w:pPr>
        <w:pBdr>
          <w:top w:val="single" w:sz="4" w:space="1" w:color="000000"/>
        </w:pBdr>
        <w:rPr>
          <w:sz w:val="16"/>
          <w:szCs w:val="16"/>
        </w:rPr>
      </w:pPr>
      <w:r>
        <w:rPr>
          <w:sz w:val="20"/>
          <w:szCs w:val="20"/>
        </w:rPr>
        <w:t xml:space="preserve">* </w:t>
      </w:r>
      <w:r>
        <w:rPr>
          <w:sz w:val="16"/>
          <w:szCs w:val="16"/>
        </w:rPr>
        <w:t xml:space="preserve">The solid lines represent the mean impulse response of the selected variables to a one standard deviation shock to the business-sentiment shock. The business sentiment shock was obtained from ordering the WSJ sentiment series last in a ten variable vector error correction model. The dashed lines represent a 95% bootstrapped confidence interval using 1000 bootstrap replications using the method of Hall. </w:t>
      </w:r>
    </w:p>
    <w:p w:rsidR="00222F36" w:rsidRDefault="000B682F">
      <w:pPr>
        <w:jc w:val="left"/>
      </w:pPr>
      <w:r>
        <w:br w:type="page"/>
      </w:r>
    </w:p>
    <w:p w:rsidR="00222F36" w:rsidRDefault="000B682F">
      <w:pPr>
        <w:jc w:val="center"/>
        <w:rPr>
          <w:b/>
        </w:rPr>
      </w:pPr>
      <w:r>
        <w:rPr>
          <w:b/>
        </w:rPr>
        <w:lastRenderedPageBreak/>
        <w:t>Figure A11: Impulse Response Function of a Term Spread Shock</w:t>
      </w:r>
    </w:p>
    <w:p w:rsidR="00222F36" w:rsidRDefault="000B682F">
      <w:pPr>
        <w:jc w:val="center"/>
      </w:pPr>
      <w:r>
        <w:rPr>
          <w:noProof/>
          <w:lang w:eastAsia="en-GB"/>
        </w:rPr>
        <w:drawing>
          <wp:inline distT="0" distB="0" distL="0" distR="0">
            <wp:extent cx="5480685" cy="5480685"/>
            <wp:effectExtent l="0" t="0" r="0" b="0"/>
            <wp:docPr id="44"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223"/>
                    <a:srcRect/>
                    <a:stretch>
                      <a:fillRect/>
                    </a:stretch>
                  </pic:blipFill>
                  <pic:spPr>
                    <a:xfrm>
                      <a:off x="0" y="0"/>
                      <a:ext cx="5480685" cy="5480685"/>
                    </a:xfrm>
                    <a:prstGeom prst="rect">
                      <a:avLst/>
                    </a:prstGeom>
                    <a:ln/>
                  </pic:spPr>
                </pic:pic>
              </a:graphicData>
            </a:graphic>
          </wp:inline>
        </w:drawing>
      </w:r>
    </w:p>
    <w:p w:rsidR="00222F36" w:rsidRDefault="000B682F">
      <w:pPr>
        <w:pBdr>
          <w:top w:val="single" w:sz="4" w:space="1" w:color="000000"/>
        </w:pBdr>
        <w:rPr>
          <w:sz w:val="16"/>
          <w:szCs w:val="16"/>
        </w:rPr>
      </w:pPr>
      <w:r>
        <w:rPr>
          <w:sz w:val="20"/>
          <w:szCs w:val="20"/>
        </w:rPr>
        <w:t xml:space="preserve">* </w:t>
      </w:r>
      <w:r>
        <w:rPr>
          <w:sz w:val="16"/>
          <w:szCs w:val="16"/>
        </w:rPr>
        <w:t xml:space="preserve">The solid lines represent the mean impulse response of the selected variables to a one standard deviation shock to the business-sentiment shock. The business sentiment shock was obtained from ordering the WSJ sentiment series last in a ten variable vector error correction model. The dashed lines represent a 95% bootstrapped confidence interval using 1000 bootstrap replications using the method of Hall. </w:t>
      </w:r>
    </w:p>
    <w:p w:rsidR="00222F36" w:rsidRDefault="00222F36">
      <w:pPr>
        <w:jc w:val="left"/>
      </w:pPr>
    </w:p>
    <w:p w:rsidR="00222F36" w:rsidRDefault="000B682F">
      <w:pPr>
        <w:jc w:val="left"/>
        <w:rPr>
          <w:b/>
        </w:rPr>
      </w:pPr>
      <w:r>
        <w:br w:type="page"/>
      </w:r>
    </w:p>
    <w:p w:rsidR="00222F36" w:rsidRDefault="000B682F">
      <w:pPr>
        <w:jc w:val="center"/>
        <w:rPr>
          <w:b/>
        </w:rPr>
      </w:pPr>
      <w:r>
        <w:rPr>
          <w:b/>
        </w:rPr>
        <w:lastRenderedPageBreak/>
        <w:t>Figure A12: Impulse Response of a Risk Spread Shock</w:t>
      </w:r>
    </w:p>
    <w:p w:rsidR="00222F36" w:rsidRDefault="000B682F">
      <w:pPr>
        <w:jc w:val="center"/>
      </w:pPr>
      <w:r>
        <w:rPr>
          <w:noProof/>
          <w:lang w:eastAsia="en-GB"/>
        </w:rPr>
        <w:drawing>
          <wp:inline distT="0" distB="0" distL="0" distR="0">
            <wp:extent cx="5480685" cy="5480685"/>
            <wp:effectExtent l="0" t="0" r="0" b="0"/>
            <wp:docPr id="46"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224"/>
                    <a:srcRect/>
                    <a:stretch>
                      <a:fillRect/>
                    </a:stretch>
                  </pic:blipFill>
                  <pic:spPr>
                    <a:xfrm>
                      <a:off x="0" y="0"/>
                      <a:ext cx="5480685" cy="5480685"/>
                    </a:xfrm>
                    <a:prstGeom prst="rect">
                      <a:avLst/>
                    </a:prstGeom>
                    <a:ln/>
                  </pic:spPr>
                </pic:pic>
              </a:graphicData>
            </a:graphic>
          </wp:inline>
        </w:drawing>
      </w:r>
    </w:p>
    <w:p w:rsidR="00222F36" w:rsidRDefault="000B682F">
      <w:pPr>
        <w:pBdr>
          <w:top w:val="single" w:sz="4" w:space="1" w:color="000000"/>
        </w:pBdr>
        <w:rPr>
          <w:sz w:val="16"/>
          <w:szCs w:val="16"/>
        </w:rPr>
      </w:pPr>
      <w:r>
        <w:rPr>
          <w:sz w:val="20"/>
          <w:szCs w:val="20"/>
        </w:rPr>
        <w:t xml:space="preserve">* </w:t>
      </w:r>
      <w:r>
        <w:rPr>
          <w:sz w:val="16"/>
          <w:szCs w:val="16"/>
        </w:rPr>
        <w:t xml:space="preserve">The solid lines represent the mean impulse response of the selected variables to a one standard deviation shock to the business-sentiment shock. The business sentiment shock was obtained from ordering the WSJ sentiment series last in a ten variable vector error correction model. The dashed lines represent a 95% bootstrapped confidence interval using 1000 bootstrap replications using the method of Hall. </w:t>
      </w:r>
    </w:p>
    <w:p w:rsidR="00222F36" w:rsidRDefault="000B682F">
      <w:pPr>
        <w:jc w:val="left"/>
      </w:pPr>
      <w:r>
        <w:br w:type="page"/>
      </w:r>
    </w:p>
    <w:p w:rsidR="00222F36" w:rsidRDefault="000B682F">
      <w:pPr>
        <w:jc w:val="center"/>
        <w:rPr>
          <w:b/>
        </w:rPr>
      </w:pPr>
      <w:r>
        <w:rPr>
          <w:b/>
        </w:rPr>
        <w:lastRenderedPageBreak/>
        <w:t>Figure A13: Impulse Response Function of an EPU Shock</w:t>
      </w:r>
    </w:p>
    <w:p w:rsidR="00222F36" w:rsidRDefault="000B682F">
      <w:pPr>
        <w:jc w:val="center"/>
      </w:pPr>
      <w:r>
        <w:rPr>
          <w:noProof/>
          <w:lang w:eastAsia="en-GB"/>
        </w:rPr>
        <w:drawing>
          <wp:inline distT="0" distB="0" distL="0" distR="0">
            <wp:extent cx="5480685" cy="5480685"/>
            <wp:effectExtent l="0" t="0" r="0" b="0"/>
            <wp:docPr id="45"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225"/>
                    <a:srcRect/>
                    <a:stretch>
                      <a:fillRect/>
                    </a:stretch>
                  </pic:blipFill>
                  <pic:spPr>
                    <a:xfrm>
                      <a:off x="0" y="0"/>
                      <a:ext cx="5480685" cy="5480685"/>
                    </a:xfrm>
                    <a:prstGeom prst="rect">
                      <a:avLst/>
                    </a:prstGeom>
                    <a:ln/>
                  </pic:spPr>
                </pic:pic>
              </a:graphicData>
            </a:graphic>
          </wp:inline>
        </w:drawing>
      </w:r>
    </w:p>
    <w:p w:rsidR="00222F36" w:rsidRDefault="000B682F">
      <w:pPr>
        <w:pBdr>
          <w:top w:val="single" w:sz="4" w:space="1" w:color="000000"/>
        </w:pBdr>
        <w:rPr>
          <w:sz w:val="16"/>
          <w:szCs w:val="16"/>
        </w:rPr>
      </w:pPr>
      <w:r>
        <w:rPr>
          <w:sz w:val="20"/>
          <w:szCs w:val="20"/>
        </w:rPr>
        <w:t xml:space="preserve">* </w:t>
      </w:r>
      <w:r>
        <w:rPr>
          <w:sz w:val="16"/>
          <w:szCs w:val="16"/>
        </w:rPr>
        <w:t xml:space="preserve">The solid lines represent the mean impulse response of the selected variables to a one standard deviation shock to the business-sentiment shock. The business sentiment shock was obtained from ordering the WSJ sentiment series last in a ten variable vector error correction model. The dashed lines represent a 95% bootstrapped confidence interval using 1000 bootstrap replications using the method of Hall. </w:t>
      </w:r>
    </w:p>
    <w:p w:rsidR="00222F36" w:rsidRDefault="000B682F">
      <w:pPr>
        <w:jc w:val="left"/>
      </w:pPr>
      <w:r>
        <w:br w:type="page"/>
      </w:r>
    </w:p>
    <w:p w:rsidR="00222F36" w:rsidRDefault="000B682F">
      <w:pPr>
        <w:jc w:val="center"/>
        <w:rPr>
          <w:b/>
        </w:rPr>
      </w:pPr>
      <w:r>
        <w:rPr>
          <w:b/>
        </w:rPr>
        <w:lastRenderedPageBreak/>
        <w:t>Figure A14: Impulse Response Function of a Sentiment (NYT) Shock</w:t>
      </w:r>
    </w:p>
    <w:p w:rsidR="00222F36" w:rsidRDefault="000B682F">
      <w:pPr>
        <w:jc w:val="center"/>
      </w:pPr>
      <w:r>
        <w:rPr>
          <w:noProof/>
          <w:lang w:eastAsia="en-GB"/>
        </w:rPr>
        <w:drawing>
          <wp:inline distT="0" distB="0" distL="0" distR="0">
            <wp:extent cx="5480685" cy="5480685"/>
            <wp:effectExtent l="0" t="0" r="0" b="0"/>
            <wp:docPr id="41"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226"/>
                    <a:srcRect/>
                    <a:stretch>
                      <a:fillRect/>
                    </a:stretch>
                  </pic:blipFill>
                  <pic:spPr>
                    <a:xfrm>
                      <a:off x="0" y="0"/>
                      <a:ext cx="5480685" cy="5480685"/>
                    </a:xfrm>
                    <a:prstGeom prst="rect">
                      <a:avLst/>
                    </a:prstGeom>
                    <a:ln/>
                  </pic:spPr>
                </pic:pic>
              </a:graphicData>
            </a:graphic>
          </wp:inline>
        </w:drawing>
      </w:r>
    </w:p>
    <w:p w:rsidR="00222F36" w:rsidRDefault="000B682F">
      <w:pPr>
        <w:pBdr>
          <w:top w:val="single" w:sz="4" w:space="1" w:color="000000"/>
        </w:pBdr>
        <w:rPr>
          <w:sz w:val="16"/>
          <w:szCs w:val="16"/>
        </w:rPr>
      </w:pPr>
      <w:r>
        <w:rPr>
          <w:sz w:val="20"/>
          <w:szCs w:val="20"/>
        </w:rPr>
        <w:t xml:space="preserve">* </w:t>
      </w:r>
      <w:r>
        <w:rPr>
          <w:sz w:val="16"/>
          <w:szCs w:val="16"/>
        </w:rPr>
        <w:t xml:space="preserve">The solid lines represent the mean impulse response of the selected variables to a one standard deviation shock to the business-sentiment shock. The business sentiment shock was obtained from ordering the WSJ sentiment series last in a ten variable vector error correction model. The dashed lines represent a 95% bootstrapped confidence interval using 1000 bootstrap replications using the method of Hall. </w:t>
      </w:r>
    </w:p>
    <w:p w:rsidR="00222F36" w:rsidRDefault="00222F36">
      <w:pPr>
        <w:jc w:val="left"/>
      </w:pPr>
    </w:p>
    <w:p w:rsidR="00222F36" w:rsidRDefault="000B682F">
      <w:pPr>
        <w:jc w:val="left"/>
        <w:rPr>
          <w:b/>
        </w:rPr>
      </w:pPr>
      <w:r>
        <w:br w:type="page"/>
      </w:r>
    </w:p>
    <w:p w:rsidR="00222F36" w:rsidRDefault="000B682F">
      <w:pPr>
        <w:jc w:val="center"/>
        <w:rPr>
          <w:b/>
        </w:rPr>
      </w:pPr>
      <w:r>
        <w:rPr>
          <w:b/>
        </w:rPr>
        <w:lastRenderedPageBreak/>
        <w:t>Figure A15: Impulse Response Function of a Business-Sentiment Shock</w:t>
      </w:r>
    </w:p>
    <w:p w:rsidR="00222F36" w:rsidRDefault="000B682F">
      <w:pPr>
        <w:jc w:val="center"/>
      </w:pPr>
      <w:r>
        <w:rPr>
          <w:noProof/>
          <w:lang w:eastAsia="en-GB"/>
        </w:rPr>
        <w:drawing>
          <wp:inline distT="0" distB="0" distL="0" distR="0">
            <wp:extent cx="5480685" cy="5480685"/>
            <wp:effectExtent l="0" t="0" r="0" b="0"/>
            <wp:docPr id="40"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227"/>
                    <a:srcRect/>
                    <a:stretch>
                      <a:fillRect/>
                    </a:stretch>
                  </pic:blipFill>
                  <pic:spPr>
                    <a:xfrm>
                      <a:off x="0" y="0"/>
                      <a:ext cx="5480685" cy="5480685"/>
                    </a:xfrm>
                    <a:prstGeom prst="rect">
                      <a:avLst/>
                    </a:prstGeom>
                    <a:ln/>
                  </pic:spPr>
                </pic:pic>
              </a:graphicData>
            </a:graphic>
          </wp:inline>
        </w:drawing>
      </w:r>
    </w:p>
    <w:p w:rsidR="00222F36" w:rsidRDefault="000B682F">
      <w:pPr>
        <w:pBdr>
          <w:top w:val="single" w:sz="4" w:space="1" w:color="000000"/>
        </w:pBdr>
        <w:rPr>
          <w:sz w:val="16"/>
          <w:szCs w:val="16"/>
        </w:rPr>
      </w:pPr>
      <w:r>
        <w:rPr>
          <w:sz w:val="20"/>
          <w:szCs w:val="20"/>
        </w:rPr>
        <w:t xml:space="preserve">* </w:t>
      </w:r>
      <w:r>
        <w:rPr>
          <w:sz w:val="16"/>
          <w:szCs w:val="16"/>
        </w:rPr>
        <w:t xml:space="preserve">The solid lines represent the mean impulse response of the selected variables to a one standard deviation shock to the business-sentiment shock. The business sentiment shock was obtained from ordering the WSJ sentiment series last in a ten variable vector error correction model. The dashed lines represent a 95% bootstrapped confidence interval using 1000 bootstrap replications using the method of Hall. </w:t>
      </w:r>
    </w:p>
    <w:p w:rsidR="00222F36" w:rsidRDefault="00222F36"/>
    <w:p w:rsidR="00222F36" w:rsidRDefault="00222F36"/>
    <w:p w:rsidR="00222F36" w:rsidRDefault="00222F36"/>
    <w:p w:rsidR="00222F36" w:rsidRDefault="00222F36"/>
    <w:p w:rsidR="00222F36" w:rsidRDefault="00222F36"/>
    <w:p w:rsidR="00222F36" w:rsidRDefault="00222F36"/>
    <w:p w:rsidR="00222F36" w:rsidRDefault="000B682F">
      <w:r>
        <w:t xml:space="preserve">Next we report historical decompositions for a number of interesting periods. </w:t>
      </w:r>
    </w:p>
    <w:p w:rsidR="00222F36" w:rsidRDefault="000B682F">
      <w:pPr>
        <w:rPr>
          <w:b/>
        </w:rPr>
      </w:pPr>
      <w:r>
        <w:rPr>
          <w:b/>
        </w:rPr>
        <w:lastRenderedPageBreak/>
        <w:t>A.3 Historical Decompositions</w:t>
      </w:r>
    </w:p>
    <w:p w:rsidR="00222F36" w:rsidRDefault="000B682F">
      <w:pPr>
        <w:jc w:val="center"/>
      </w:pPr>
      <w:r>
        <w:rPr>
          <w:b/>
        </w:rPr>
        <w:t>Figure A16: Historical decomposition for July 1920 to May 1921</w:t>
      </w:r>
    </w:p>
    <w:p w:rsidR="00222F36" w:rsidRDefault="000B682F">
      <w:pPr>
        <w:jc w:val="center"/>
      </w:pPr>
      <w:r>
        <w:rPr>
          <w:noProof/>
          <w:lang w:eastAsia="en-GB"/>
        </w:rPr>
        <w:drawing>
          <wp:inline distT="0" distB="0" distL="0" distR="0">
            <wp:extent cx="5480685" cy="5480685"/>
            <wp:effectExtent l="0" t="0" r="0" b="0"/>
            <wp:docPr id="43"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228"/>
                    <a:srcRect/>
                    <a:stretch>
                      <a:fillRect/>
                    </a:stretch>
                  </pic:blipFill>
                  <pic:spPr>
                    <a:xfrm>
                      <a:off x="0" y="0"/>
                      <a:ext cx="5480685" cy="5480685"/>
                    </a:xfrm>
                    <a:prstGeom prst="rect">
                      <a:avLst/>
                    </a:prstGeom>
                    <a:ln/>
                  </pic:spPr>
                </pic:pic>
              </a:graphicData>
            </a:graphic>
          </wp:inline>
        </w:drawing>
      </w:r>
    </w:p>
    <w:p w:rsidR="00222F36" w:rsidRDefault="000B682F">
      <w:pPr>
        <w:pBdr>
          <w:top w:val="single" w:sz="4" w:space="1" w:color="000000"/>
        </w:pBdr>
        <w:rPr>
          <w:sz w:val="20"/>
          <w:szCs w:val="20"/>
        </w:rPr>
      </w:pPr>
      <w:r>
        <w:rPr>
          <w:sz w:val="20"/>
          <w:szCs w:val="20"/>
        </w:rPr>
        <w:t>*</w:t>
      </w:r>
      <w:r>
        <w:rPr>
          <w:sz w:val="16"/>
          <w:szCs w:val="16"/>
        </w:rPr>
        <w:t>Industrial production, the stock market, bank loans, and prices are normalized to equal 100 for the first date of each subperiod. The credit risk spread is measured in deviations (in basis points) from the value at the first date of each subperiod. The blue line is the actual data while the red line is the counterfactual series with the business-sentiment shock removed.</w:t>
      </w:r>
      <w:r>
        <w:rPr>
          <w:sz w:val="20"/>
          <w:szCs w:val="20"/>
        </w:rPr>
        <w:t xml:space="preserve"> </w:t>
      </w:r>
    </w:p>
    <w:p w:rsidR="00222F36" w:rsidRDefault="00222F36">
      <w:pPr>
        <w:jc w:val="center"/>
        <w:rPr>
          <w:b/>
        </w:rPr>
      </w:pPr>
    </w:p>
    <w:p w:rsidR="00222F36" w:rsidRDefault="000B682F">
      <w:pPr>
        <w:jc w:val="left"/>
        <w:rPr>
          <w:b/>
        </w:rPr>
      </w:pPr>
      <w:r>
        <w:br w:type="page"/>
      </w:r>
    </w:p>
    <w:p w:rsidR="00222F36" w:rsidRDefault="000B682F">
      <w:pPr>
        <w:jc w:val="center"/>
        <w:rPr>
          <w:b/>
        </w:rPr>
      </w:pPr>
      <w:r>
        <w:rPr>
          <w:b/>
        </w:rPr>
        <w:lastRenderedPageBreak/>
        <w:t>Figure A17: Historical decomposition for June 1921 to March 1922</w:t>
      </w:r>
    </w:p>
    <w:p w:rsidR="00222F36" w:rsidRDefault="000B682F">
      <w:pPr>
        <w:jc w:val="center"/>
      </w:pPr>
      <w:r>
        <w:rPr>
          <w:noProof/>
          <w:lang w:eastAsia="en-GB"/>
        </w:rPr>
        <w:drawing>
          <wp:inline distT="0" distB="0" distL="0" distR="0">
            <wp:extent cx="5480685" cy="5480685"/>
            <wp:effectExtent l="0" t="0" r="0" b="0"/>
            <wp:docPr id="42"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229"/>
                    <a:srcRect/>
                    <a:stretch>
                      <a:fillRect/>
                    </a:stretch>
                  </pic:blipFill>
                  <pic:spPr>
                    <a:xfrm>
                      <a:off x="0" y="0"/>
                      <a:ext cx="5480685" cy="5480685"/>
                    </a:xfrm>
                    <a:prstGeom prst="rect">
                      <a:avLst/>
                    </a:prstGeom>
                    <a:ln/>
                  </pic:spPr>
                </pic:pic>
              </a:graphicData>
            </a:graphic>
          </wp:inline>
        </w:drawing>
      </w:r>
    </w:p>
    <w:p w:rsidR="00222F36" w:rsidRDefault="000B682F">
      <w:pPr>
        <w:pBdr>
          <w:top w:val="single" w:sz="4" w:space="1" w:color="000000"/>
        </w:pBdr>
        <w:rPr>
          <w:sz w:val="20"/>
          <w:szCs w:val="20"/>
        </w:rPr>
      </w:pPr>
      <w:r>
        <w:rPr>
          <w:sz w:val="20"/>
          <w:szCs w:val="20"/>
        </w:rPr>
        <w:t>*</w:t>
      </w:r>
      <w:r>
        <w:rPr>
          <w:sz w:val="16"/>
          <w:szCs w:val="16"/>
        </w:rPr>
        <w:t>Industrial production, the stock market, bank loans, and prices are normalized to equal 100 for the first date of each subperiod. The credit risk spread is measured in deviations (in basis points) from the value at the first date of each subperiod. The blue line is the actual data while the red line is the counterfactual series with the business-sentiment shock removed.</w:t>
      </w:r>
      <w:r>
        <w:rPr>
          <w:sz w:val="20"/>
          <w:szCs w:val="20"/>
        </w:rPr>
        <w:t xml:space="preserve"> </w:t>
      </w:r>
    </w:p>
    <w:p w:rsidR="00222F36" w:rsidRDefault="000B682F">
      <w:pPr>
        <w:jc w:val="left"/>
      </w:pPr>
      <w:r>
        <w:br w:type="page"/>
      </w:r>
    </w:p>
    <w:p w:rsidR="00222F36" w:rsidRDefault="00222F36">
      <w:pPr>
        <w:jc w:val="center"/>
      </w:pPr>
    </w:p>
    <w:p w:rsidR="00222F36" w:rsidRDefault="000B682F">
      <w:pPr>
        <w:jc w:val="center"/>
        <w:rPr>
          <w:b/>
        </w:rPr>
      </w:pPr>
      <w:r>
        <w:rPr>
          <w:b/>
        </w:rPr>
        <w:t>Figure A18: Historical decomposition for May 1923 to November 1923</w:t>
      </w:r>
    </w:p>
    <w:p w:rsidR="00222F36" w:rsidRDefault="000B682F">
      <w:pPr>
        <w:jc w:val="center"/>
      </w:pPr>
      <w:r>
        <w:rPr>
          <w:noProof/>
          <w:lang w:eastAsia="en-GB"/>
        </w:rPr>
        <w:drawing>
          <wp:inline distT="0" distB="0" distL="0" distR="0">
            <wp:extent cx="5480685" cy="5480685"/>
            <wp:effectExtent l="0" t="0" r="0" b="0"/>
            <wp:docPr id="38"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230"/>
                    <a:srcRect/>
                    <a:stretch>
                      <a:fillRect/>
                    </a:stretch>
                  </pic:blipFill>
                  <pic:spPr>
                    <a:xfrm>
                      <a:off x="0" y="0"/>
                      <a:ext cx="5480685" cy="5480685"/>
                    </a:xfrm>
                    <a:prstGeom prst="rect">
                      <a:avLst/>
                    </a:prstGeom>
                    <a:ln/>
                  </pic:spPr>
                </pic:pic>
              </a:graphicData>
            </a:graphic>
          </wp:inline>
        </w:drawing>
      </w:r>
    </w:p>
    <w:p w:rsidR="00222F36" w:rsidRDefault="000B682F">
      <w:pPr>
        <w:pBdr>
          <w:top w:val="single" w:sz="4" w:space="1" w:color="000000"/>
        </w:pBdr>
        <w:rPr>
          <w:sz w:val="20"/>
          <w:szCs w:val="20"/>
        </w:rPr>
      </w:pPr>
      <w:r>
        <w:rPr>
          <w:sz w:val="20"/>
          <w:szCs w:val="20"/>
        </w:rPr>
        <w:t>*</w:t>
      </w:r>
      <w:r>
        <w:rPr>
          <w:sz w:val="16"/>
          <w:szCs w:val="16"/>
        </w:rPr>
        <w:t>Industrial production, the stock market, bank loans, and prices are normalized to equal 100 for the first date of each subperiod. The credit risk spread is measured in deviations (in basis points) from the value at the first date of each subperiod. The blue line is the actual data while the red line is the counterfactual series with the business-sentiment shock removed.</w:t>
      </w:r>
      <w:r>
        <w:rPr>
          <w:sz w:val="20"/>
          <w:szCs w:val="20"/>
        </w:rPr>
        <w:t xml:space="preserve"> </w:t>
      </w:r>
    </w:p>
    <w:p w:rsidR="00222F36" w:rsidRDefault="00222F36">
      <w:pPr>
        <w:jc w:val="left"/>
      </w:pPr>
    </w:p>
    <w:p w:rsidR="00222F36" w:rsidRDefault="00222F36">
      <w:pPr>
        <w:jc w:val="center"/>
      </w:pPr>
    </w:p>
    <w:p w:rsidR="00222F36" w:rsidRDefault="000B682F">
      <w:pPr>
        <w:jc w:val="left"/>
        <w:rPr>
          <w:b/>
        </w:rPr>
      </w:pPr>
      <w:r>
        <w:br w:type="page"/>
      </w:r>
    </w:p>
    <w:p w:rsidR="00222F36" w:rsidRDefault="000B682F">
      <w:pPr>
        <w:jc w:val="center"/>
        <w:rPr>
          <w:b/>
        </w:rPr>
      </w:pPr>
      <w:r>
        <w:rPr>
          <w:b/>
        </w:rPr>
        <w:lastRenderedPageBreak/>
        <w:t>Figure A19: Historical decomposition for May 1926 to April 1927</w:t>
      </w:r>
    </w:p>
    <w:p w:rsidR="00222F36" w:rsidRDefault="000B682F">
      <w:pPr>
        <w:jc w:val="center"/>
      </w:pPr>
      <w:r>
        <w:rPr>
          <w:noProof/>
          <w:lang w:eastAsia="en-GB"/>
        </w:rPr>
        <w:drawing>
          <wp:inline distT="0" distB="0" distL="0" distR="0">
            <wp:extent cx="5480685" cy="5480685"/>
            <wp:effectExtent l="0" t="0" r="0" b="0"/>
            <wp:docPr id="37"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31"/>
                    <a:srcRect/>
                    <a:stretch>
                      <a:fillRect/>
                    </a:stretch>
                  </pic:blipFill>
                  <pic:spPr>
                    <a:xfrm>
                      <a:off x="0" y="0"/>
                      <a:ext cx="5480685" cy="5480685"/>
                    </a:xfrm>
                    <a:prstGeom prst="rect">
                      <a:avLst/>
                    </a:prstGeom>
                    <a:ln/>
                  </pic:spPr>
                </pic:pic>
              </a:graphicData>
            </a:graphic>
          </wp:inline>
        </w:drawing>
      </w:r>
    </w:p>
    <w:p w:rsidR="00222F36" w:rsidRDefault="000B682F">
      <w:pPr>
        <w:pBdr>
          <w:top w:val="single" w:sz="4" w:space="1" w:color="000000"/>
        </w:pBdr>
        <w:rPr>
          <w:sz w:val="20"/>
          <w:szCs w:val="20"/>
        </w:rPr>
      </w:pPr>
      <w:r>
        <w:rPr>
          <w:sz w:val="20"/>
          <w:szCs w:val="20"/>
        </w:rPr>
        <w:t>*</w:t>
      </w:r>
      <w:r>
        <w:rPr>
          <w:sz w:val="16"/>
          <w:szCs w:val="16"/>
        </w:rPr>
        <w:t>Industrial production, the stock market, bank loans, and prices are normalized to equal 100 for the first date of each subperiod. The credit risk spread is measured in deviations (in basis points) from the value at the first date of each subperiod. The blue line is the actual data while the red line is the counterfactual series with the business-sentiment shock removed.</w:t>
      </w:r>
      <w:r>
        <w:rPr>
          <w:sz w:val="20"/>
          <w:szCs w:val="20"/>
        </w:rPr>
        <w:t xml:space="preserve"> </w:t>
      </w:r>
    </w:p>
    <w:p w:rsidR="00222F36" w:rsidRDefault="000B682F">
      <w:pPr>
        <w:jc w:val="left"/>
      </w:pPr>
      <w:r>
        <w:br w:type="page"/>
      </w:r>
    </w:p>
    <w:p w:rsidR="00222F36" w:rsidRDefault="000B682F">
      <w:pPr>
        <w:jc w:val="center"/>
        <w:rPr>
          <w:b/>
        </w:rPr>
      </w:pPr>
      <w:r>
        <w:rPr>
          <w:b/>
        </w:rPr>
        <w:lastRenderedPageBreak/>
        <w:t>Figure A20: Historical decomposition for April 1928  to December 1928</w:t>
      </w:r>
    </w:p>
    <w:p w:rsidR="00222F36" w:rsidRDefault="000B682F">
      <w:pPr>
        <w:jc w:val="center"/>
      </w:pPr>
      <w:r>
        <w:rPr>
          <w:noProof/>
          <w:lang w:eastAsia="en-GB"/>
        </w:rPr>
        <w:drawing>
          <wp:inline distT="0" distB="0" distL="0" distR="0">
            <wp:extent cx="5480685" cy="5480685"/>
            <wp:effectExtent l="0" t="0" r="0" b="0"/>
            <wp:docPr id="39"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232"/>
                    <a:srcRect/>
                    <a:stretch>
                      <a:fillRect/>
                    </a:stretch>
                  </pic:blipFill>
                  <pic:spPr>
                    <a:xfrm>
                      <a:off x="0" y="0"/>
                      <a:ext cx="5480685" cy="5480685"/>
                    </a:xfrm>
                    <a:prstGeom prst="rect">
                      <a:avLst/>
                    </a:prstGeom>
                    <a:ln/>
                  </pic:spPr>
                </pic:pic>
              </a:graphicData>
            </a:graphic>
          </wp:inline>
        </w:drawing>
      </w:r>
    </w:p>
    <w:p w:rsidR="00222F36" w:rsidRDefault="000B682F">
      <w:pPr>
        <w:pBdr>
          <w:top w:val="single" w:sz="4" w:space="1" w:color="000000"/>
        </w:pBdr>
        <w:rPr>
          <w:sz w:val="20"/>
          <w:szCs w:val="20"/>
        </w:rPr>
      </w:pPr>
      <w:r>
        <w:rPr>
          <w:sz w:val="20"/>
          <w:szCs w:val="20"/>
        </w:rPr>
        <w:t>*</w:t>
      </w:r>
      <w:r>
        <w:rPr>
          <w:sz w:val="16"/>
          <w:szCs w:val="16"/>
        </w:rPr>
        <w:t>Industrial production, the stock market, bank loans, and prices are normalized to equal 100 for the first date of each subperiod. The credit risk spread is measured in deviations (in basis points) from the value at the first date of each subperiod. The blue line is the actual data while the red line is the counterfactual series with the business-sentiment shock removed.</w:t>
      </w:r>
      <w:r>
        <w:rPr>
          <w:sz w:val="20"/>
          <w:szCs w:val="20"/>
        </w:rPr>
        <w:t xml:space="preserve"> </w:t>
      </w:r>
    </w:p>
    <w:p w:rsidR="00222F36" w:rsidRDefault="00222F36"/>
    <w:p w:rsidR="00222F36" w:rsidRDefault="000B682F">
      <w:pPr>
        <w:jc w:val="left"/>
      </w:pPr>
      <w:r>
        <w:br w:type="page"/>
      </w:r>
    </w:p>
    <w:p w:rsidR="00222F36" w:rsidRDefault="000B682F">
      <w:pPr>
        <w:jc w:val="center"/>
        <w:rPr>
          <w:b/>
        </w:rPr>
      </w:pPr>
      <w:r>
        <w:rPr>
          <w:b/>
        </w:rPr>
        <w:lastRenderedPageBreak/>
        <w:t>Figure A21: Historical decomposition for January 1929  to December 1929</w:t>
      </w:r>
    </w:p>
    <w:p w:rsidR="00222F36" w:rsidRDefault="000B682F">
      <w:pPr>
        <w:jc w:val="center"/>
      </w:pPr>
      <w:r>
        <w:rPr>
          <w:noProof/>
          <w:lang w:eastAsia="en-GB"/>
        </w:rPr>
        <w:drawing>
          <wp:inline distT="0" distB="0" distL="0" distR="0">
            <wp:extent cx="5480685" cy="5480685"/>
            <wp:effectExtent l="0" t="0" r="0" b="0"/>
            <wp:docPr id="48"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233"/>
                    <a:srcRect/>
                    <a:stretch>
                      <a:fillRect/>
                    </a:stretch>
                  </pic:blipFill>
                  <pic:spPr>
                    <a:xfrm>
                      <a:off x="0" y="0"/>
                      <a:ext cx="5480685" cy="5480685"/>
                    </a:xfrm>
                    <a:prstGeom prst="rect">
                      <a:avLst/>
                    </a:prstGeom>
                    <a:ln/>
                  </pic:spPr>
                </pic:pic>
              </a:graphicData>
            </a:graphic>
          </wp:inline>
        </w:drawing>
      </w:r>
    </w:p>
    <w:p w:rsidR="00222F36" w:rsidRDefault="000B682F">
      <w:pPr>
        <w:pBdr>
          <w:top w:val="single" w:sz="4" w:space="1" w:color="000000"/>
        </w:pBdr>
        <w:rPr>
          <w:sz w:val="20"/>
          <w:szCs w:val="20"/>
        </w:rPr>
      </w:pPr>
      <w:r>
        <w:rPr>
          <w:sz w:val="20"/>
          <w:szCs w:val="20"/>
        </w:rPr>
        <w:t>*</w:t>
      </w:r>
      <w:r>
        <w:rPr>
          <w:sz w:val="16"/>
          <w:szCs w:val="16"/>
        </w:rPr>
        <w:t>Industrial production, the stock market, bank loans, and prices are normalized to equal 100 for the first date of each subperiod. The credit risk spread is measured in deviations (in basis points) from the value at the first date of each subperiod. The blue line is the actual data while the red line is the counterfactual series with the business-sentiment shock removed.</w:t>
      </w:r>
      <w:r>
        <w:rPr>
          <w:sz w:val="20"/>
          <w:szCs w:val="20"/>
        </w:rPr>
        <w:t xml:space="preserve"> </w:t>
      </w:r>
    </w:p>
    <w:p w:rsidR="00222F36" w:rsidRDefault="00222F36">
      <w:pPr>
        <w:jc w:val="left"/>
      </w:pPr>
    </w:p>
    <w:p w:rsidR="00222F36" w:rsidRDefault="000B682F">
      <w:pPr>
        <w:ind w:firstLine="720"/>
      </w:pPr>
      <w:r>
        <w:t xml:space="preserve"> </w:t>
      </w:r>
    </w:p>
    <w:p w:rsidR="00222F36" w:rsidRDefault="00222F36"/>
    <w:p w:rsidR="00222F36" w:rsidRDefault="00222F36">
      <w:pPr>
        <w:jc w:val="center"/>
      </w:pPr>
    </w:p>
    <w:p w:rsidR="00222F36" w:rsidRDefault="00222F36">
      <w:pPr>
        <w:jc w:val="center"/>
      </w:pPr>
    </w:p>
    <w:p w:rsidR="00222F36" w:rsidRDefault="00222F36">
      <w:pPr>
        <w:jc w:val="center"/>
      </w:pPr>
    </w:p>
    <w:p w:rsidR="00222F36" w:rsidRDefault="00222F36">
      <w:pPr>
        <w:jc w:val="center"/>
      </w:pPr>
    </w:p>
    <w:p w:rsidR="00222F36" w:rsidRDefault="000B682F">
      <w:pPr>
        <w:jc w:val="center"/>
        <w:rPr>
          <w:b/>
        </w:rPr>
      </w:pPr>
      <w:r>
        <w:rPr>
          <w:b/>
        </w:rPr>
        <w:t>Figure A22: Historical decomposition for April 1930 to December 1930</w:t>
      </w:r>
    </w:p>
    <w:p w:rsidR="00222F36" w:rsidRDefault="000B682F">
      <w:pPr>
        <w:jc w:val="center"/>
      </w:pPr>
      <w:r>
        <w:rPr>
          <w:noProof/>
          <w:lang w:eastAsia="en-GB"/>
        </w:rPr>
        <w:drawing>
          <wp:inline distT="0" distB="0" distL="0" distR="0">
            <wp:extent cx="5480685" cy="5480685"/>
            <wp:effectExtent l="0" t="0" r="0" b="0"/>
            <wp:docPr id="47"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234"/>
                    <a:srcRect/>
                    <a:stretch>
                      <a:fillRect/>
                    </a:stretch>
                  </pic:blipFill>
                  <pic:spPr>
                    <a:xfrm>
                      <a:off x="0" y="0"/>
                      <a:ext cx="5480685" cy="5480685"/>
                    </a:xfrm>
                    <a:prstGeom prst="rect">
                      <a:avLst/>
                    </a:prstGeom>
                    <a:ln/>
                  </pic:spPr>
                </pic:pic>
              </a:graphicData>
            </a:graphic>
          </wp:inline>
        </w:drawing>
      </w:r>
    </w:p>
    <w:p w:rsidR="00222F36" w:rsidRDefault="000B682F">
      <w:pPr>
        <w:pBdr>
          <w:top w:val="single" w:sz="4" w:space="1" w:color="000000"/>
        </w:pBdr>
        <w:rPr>
          <w:sz w:val="20"/>
          <w:szCs w:val="20"/>
        </w:rPr>
      </w:pPr>
      <w:r>
        <w:rPr>
          <w:sz w:val="20"/>
          <w:szCs w:val="20"/>
        </w:rPr>
        <w:t>*</w:t>
      </w:r>
      <w:r>
        <w:rPr>
          <w:sz w:val="16"/>
          <w:szCs w:val="16"/>
        </w:rPr>
        <w:t>Industrial production, the stock market, bank loans, and prices are normalized to equal 100 for the first date of each subperiod. The credit risk spread is measured in deviations (in basis points) from the value at the first date of each subperiod. The blue line is the actual data while the red line is the counterfactual series with the business-sentiment shock removed.</w:t>
      </w:r>
      <w:r>
        <w:rPr>
          <w:sz w:val="20"/>
          <w:szCs w:val="20"/>
        </w:rPr>
        <w:t xml:space="preserve"> </w:t>
      </w:r>
    </w:p>
    <w:p w:rsidR="00222F36" w:rsidRDefault="00222F36">
      <w:pPr>
        <w:jc w:val="left"/>
      </w:pPr>
    </w:p>
    <w:p w:rsidR="00222F36" w:rsidRDefault="000B682F">
      <w:pPr>
        <w:jc w:val="left"/>
        <w:rPr>
          <w:b/>
        </w:rPr>
      </w:pPr>
      <w:r>
        <w:br w:type="page"/>
      </w:r>
    </w:p>
    <w:p w:rsidR="00222F36" w:rsidRDefault="000B682F">
      <w:pPr>
        <w:jc w:val="center"/>
        <w:rPr>
          <w:b/>
        </w:rPr>
      </w:pPr>
      <w:r>
        <w:rPr>
          <w:b/>
        </w:rPr>
        <w:lastRenderedPageBreak/>
        <w:t>Figure A23: Historical decomposition for January 1931 to December 1931</w:t>
      </w:r>
    </w:p>
    <w:p w:rsidR="00222F36" w:rsidRDefault="000B682F">
      <w:pPr>
        <w:jc w:val="center"/>
      </w:pPr>
      <w:r>
        <w:rPr>
          <w:noProof/>
          <w:lang w:eastAsia="en-GB"/>
        </w:rPr>
        <w:drawing>
          <wp:inline distT="0" distB="0" distL="0" distR="0">
            <wp:extent cx="5480685" cy="5480685"/>
            <wp:effectExtent l="0" t="0" r="0" b="0"/>
            <wp:docPr id="50"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235"/>
                    <a:srcRect/>
                    <a:stretch>
                      <a:fillRect/>
                    </a:stretch>
                  </pic:blipFill>
                  <pic:spPr>
                    <a:xfrm>
                      <a:off x="0" y="0"/>
                      <a:ext cx="5480685" cy="5480685"/>
                    </a:xfrm>
                    <a:prstGeom prst="rect">
                      <a:avLst/>
                    </a:prstGeom>
                    <a:ln/>
                  </pic:spPr>
                </pic:pic>
              </a:graphicData>
            </a:graphic>
          </wp:inline>
        </w:drawing>
      </w:r>
    </w:p>
    <w:p w:rsidR="00222F36" w:rsidRDefault="000B682F">
      <w:pPr>
        <w:pBdr>
          <w:top w:val="single" w:sz="4" w:space="1" w:color="000000"/>
        </w:pBdr>
        <w:rPr>
          <w:sz w:val="20"/>
          <w:szCs w:val="20"/>
        </w:rPr>
      </w:pPr>
      <w:r>
        <w:rPr>
          <w:sz w:val="20"/>
          <w:szCs w:val="20"/>
        </w:rPr>
        <w:t>*</w:t>
      </w:r>
      <w:r>
        <w:rPr>
          <w:sz w:val="16"/>
          <w:szCs w:val="16"/>
        </w:rPr>
        <w:t>Industrial production, the stock market, bank loans, and prices are normalized to equal 100 for the first date of each subperiod. The credit risk spread is measured in deviations (in basis points) from the value at the first date of each subperiod. The blue line is the actual data while the red line is the counterfactual series with the business-sentiment shock removed.</w:t>
      </w:r>
      <w:r>
        <w:rPr>
          <w:sz w:val="20"/>
          <w:szCs w:val="20"/>
        </w:rPr>
        <w:t xml:space="preserve"> </w:t>
      </w:r>
    </w:p>
    <w:p w:rsidR="00222F36" w:rsidRDefault="00222F36">
      <w:pPr>
        <w:jc w:val="left"/>
      </w:pPr>
    </w:p>
    <w:p w:rsidR="00222F36" w:rsidRDefault="000B682F">
      <w:pPr>
        <w:jc w:val="left"/>
        <w:rPr>
          <w:b/>
        </w:rPr>
      </w:pPr>
      <w:r>
        <w:br w:type="page"/>
      </w:r>
    </w:p>
    <w:p w:rsidR="00222F36" w:rsidRDefault="000B682F">
      <w:pPr>
        <w:jc w:val="center"/>
        <w:rPr>
          <w:b/>
        </w:rPr>
      </w:pPr>
      <w:bookmarkStart w:id="15" w:name="_heading=h.1fob9te" w:colFirst="0" w:colLast="0"/>
      <w:bookmarkEnd w:id="15"/>
      <w:r>
        <w:rPr>
          <w:b/>
        </w:rPr>
        <w:lastRenderedPageBreak/>
        <w:t>Figure A24: Historical decomposition for July 1932 to December 1933</w:t>
      </w:r>
    </w:p>
    <w:p w:rsidR="00222F36" w:rsidRDefault="000B682F">
      <w:pPr>
        <w:jc w:val="center"/>
      </w:pPr>
      <w:r>
        <w:rPr>
          <w:noProof/>
          <w:lang w:eastAsia="en-GB"/>
        </w:rPr>
        <w:drawing>
          <wp:inline distT="0" distB="0" distL="0" distR="0">
            <wp:extent cx="5480685" cy="5480685"/>
            <wp:effectExtent l="0" t="0" r="0" b="0"/>
            <wp:docPr id="49"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236"/>
                    <a:srcRect/>
                    <a:stretch>
                      <a:fillRect/>
                    </a:stretch>
                  </pic:blipFill>
                  <pic:spPr>
                    <a:xfrm>
                      <a:off x="0" y="0"/>
                      <a:ext cx="5480685" cy="5480685"/>
                    </a:xfrm>
                    <a:prstGeom prst="rect">
                      <a:avLst/>
                    </a:prstGeom>
                    <a:ln/>
                  </pic:spPr>
                </pic:pic>
              </a:graphicData>
            </a:graphic>
          </wp:inline>
        </w:drawing>
      </w:r>
    </w:p>
    <w:p w:rsidR="00222F36" w:rsidRDefault="000B682F">
      <w:pPr>
        <w:pBdr>
          <w:top w:val="single" w:sz="4" w:space="1" w:color="000000"/>
        </w:pBdr>
        <w:rPr>
          <w:sz w:val="20"/>
          <w:szCs w:val="20"/>
        </w:rPr>
      </w:pPr>
      <w:r>
        <w:rPr>
          <w:sz w:val="20"/>
          <w:szCs w:val="20"/>
        </w:rPr>
        <w:t>*</w:t>
      </w:r>
      <w:r>
        <w:rPr>
          <w:sz w:val="16"/>
          <w:szCs w:val="16"/>
        </w:rPr>
        <w:t>Industrial production, the stock market, bank loans, and prices are normalized to equal 100 for the first date of each subperiod. The credit risk spread is measured in deviations (in basis points) from the value at the first date of each subperiod. The blue line is the actual data while the red line is the counterfactual series with the business-sentiment shock removed.</w:t>
      </w:r>
      <w:r>
        <w:rPr>
          <w:sz w:val="20"/>
          <w:szCs w:val="20"/>
        </w:rPr>
        <w:t xml:space="preserve"> </w:t>
      </w:r>
    </w:p>
    <w:p w:rsidR="00222F36" w:rsidRDefault="00222F36"/>
    <w:p w:rsidR="00222F36" w:rsidRDefault="000B682F">
      <w:pPr>
        <w:jc w:val="left"/>
      </w:pPr>
      <w:r>
        <w:br w:type="page"/>
      </w:r>
    </w:p>
    <w:p w:rsidR="00222F36" w:rsidRDefault="000B682F">
      <w:pPr>
        <w:rPr>
          <w:b/>
        </w:rPr>
      </w:pPr>
      <w:r>
        <w:rPr>
          <w:b/>
        </w:rPr>
        <w:lastRenderedPageBreak/>
        <w:t>A.4 Robustness Checks</w:t>
      </w:r>
    </w:p>
    <w:p w:rsidR="00222F36" w:rsidRDefault="00222F36"/>
    <w:p w:rsidR="00222F36" w:rsidRDefault="000B682F">
      <w:r>
        <w:t xml:space="preserve">In what follows, we report the forecast error variance decompositions for alternative specifications. </w:t>
      </w:r>
    </w:p>
    <w:p w:rsidR="00222F36" w:rsidRDefault="000B682F">
      <w:pPr>
        <w:ind w:firstLine="720"/>
      </w:pPr>
      <w:r>
        <w:t xml:space="preserve">The first alternative model is a model with bank loans replaced by M2. The impact of the WSJ derived business-sentiment shock on industrial production, the stock market and M2 are similar in quantity to the original specification. </w:t>
      </w:r>
    </w:p>
    <w:p w:rsidR="00222F36" w:rsidRDefault="00222F36"/>
    <w:p w:rsidR="00222F36" w:rsidRDefault="000B682F">
      <w:pPr>
        <w:jc w:val="center"/>
        <w:rPr>
          <w:b/>
        </w:rPr>
      </w:pPr>
      <w:r>
        <w:rPr>
          <w:b/>
        </w:rPr>
        <w:t>Table A6: FEVD for Model with M2 replacing Bank Loans of a shock to Sentiment</w:t>
      </w:r>
    </w:p>
    <w:tbl>
      <w:tblPr>
        <w:tblStyle w:val="a8"/>
        <w:tblW w:w="7066" w:type="dxa"/>
        <w:jc w:val="center"/>
        <w:tblBorders>
          <w:top w:val="nil"/>
          <w:left w:val="nil"/>
          <w:bottom w:val="nil"/>
          <w:right w:val="nil"/>
          <w:insideH w:val="nil"/>
          <w:insideV w:val="nil"/>
        </w:tblBorders>
        <w:tblLayout w:type="fixed"/>
        <w:tblLook w:val="0400" w:firstRow="0" w:lastRow="0" w:firstColumn="0" w:lastColumn="0" w:noHBand="0" w:noVBand="1"/>
      </w:tblPr>
      <w:tblGrid>
        <w:gridCol w:w="739"/>
        <w:gridCol w:w="666"/>
        <w:gridCol w:w="694"/>
        <w:gridCol w:w="666"/>
        <w:gridCol w:w="566"/>
        <w:gridCol w:w="566"/>
        <w:gridCol w:w="626"/>
        <w:gridCol w:w="616"/>
        <w:gridCol w:w="605"/>
        <w:gridCol w:w="656"/>
        <w:gridCol w:w="666"/>
      </w:tblGrid>
      <w:tr w:rsidR="00222F36">
        <w:trPr>
          <w:trHeight w:val="300"/>
          <w:jc w:val="center"/>
        </w:trPr>
        <w:tc>
          <w:tcPr>
            <w:tcW w:w="739" w:type="dxa"/>
            <w:tcBorders>
              <w:bottom w:val="single" w:sz="4" w:space="0" w:color="000000"/>
            </w:tcBorders>
            <w:vAlign w:val="center"/>
          </w:tcPr>
          <w:p w:rsidR="00222F36" w:rsidRDefault="000B682F">
            <w:pPr>
              <w:spacing w:line="240" w:lineRule="auto"/>
              <w:jc w:val="center"/>
              <w:rPr>
                <w:color w:val="000000"/>
              </w:rPr>
            </w:pPr>
            <w:r>
              <w:rPr>
                <w:color w:val="000000"/>
              </w:rPr>
              <w:t>Period</w:t>
            </w:r>
          </w:p>
        </w:tc>
        <w:tc>
          <w:tcPr>
            <w:tcW w:w="666" w:type="dxa"/>
            <w:tcBorders>
              <w:bottom w:val="single" w:sz="4" w:space="0" w:color="000000"/>
            </w:tcBorders>
            <w:vAlign w:val="center"/>
          </w:tcPr>
          <w:p w:rsidR="00222F36" w:rsidRDefault="000B682F">
            <w:pPr>
              <w:spacing w:line="240" w:lineRule="auto"/>
              <w:jc w:val="center"/>
              <w:rPr>
                <w:i/>
                <w:color w:val="000000"/>
              </w:rPr>
            </w:pPr>
            <w:r>
              <w:rPr>
                <w:i/>
                <w:color w:val="000000"/>
              </w:rPr>
              <w:t>ip</w:t>
            </w:r>
          </w:p>
        </w:tc>
        <w:tc>
          <w:tcPr>
            <w:tcW w:w="694" w:type="dxa"/>
            <w:tcBorders>
              <w:bottom w:val="single" w:sz="4" w:space="0" w:color="000000"/>
            </w:tcBorders>
            <w:vAlign w:val="center"/>
          </w:tcPr>
          <w:p w:rsidR="00222F36" w:rsidRDefault="000B682F">
            <w:pPr>
              <w:spacing w:line="240" w:lineRule="auto"/>
              <w:jc w:val="center"/>
              <w:rPr>
                <w:i/>
                <w:color w:val="000000"/>
              </w:rPr>
            </w:pPr>
            <w:r>
              <w:rPr>
                <w:i/>
                <w:color w:val="000000"/>
              </w:rPr>
              <w:t>sp500</w:t>
            </w:r>
          </w:p>
        </w:tc>
        <w:tc>
          <w:tcPr>
            <w:tcW w:w="666" w:type="dxa"/>
            <w:tcBorders>
              <w:bottom w:val="single" w:sz="4" w:space="0" w:color="000000"/>
            </w:tcBorders>
            <w:vAlign w:val="center"/>
          </w:tcPr>
          <w:p w:rsidR="00222F36" w:rsidRDefault="000B682F">
            <w:pPr>
              <w:spacing w:line="240" w:lineRule="auto"/>
              <w:jc w:val="center"/>
              <w:rPr>
                <w:i/>
                <w:color w:val="000000"/>
              </w:rPr>
            </w:pPr>
            <w:r>
              <w:rPr>
                <w:i/>
                <w:color w:val="000000"/>
              </w:rPr>
              <w:t>M2</w:t>
            </w:r>
          </w:p>
        </w:tc>
        <w:tc>
          <w:tcPr>
            <w:tcW w:w="566" w:type="dxa"/>
            <w:tcBorders>
              <w:bottom w:val="single" w:sz="4" w:space="0" w:color="000000"/>
            </w:tcBorders>
            <w:vAlign w:val="center"/>
          </w:tcPr>
          <w:p w:rsidR="00222F36" w:rsidRDefault="000B682F">
            <w:pPr>
              <w:spacing w:line="240" w:lineRule="auto"/>
              <w:jc w:val="center"/>
              <w:rPr>
                <w:i/>
                <w:color w:val="000000"/>
              </w:rPr>
            </w:pPr>
            <w:r>
              <w:rPr>
                <w:i/>
                <w:color w:val="000000"/>
              </w:rPr>
              <w:t>p</w:t>
            </w:r>
          </w:p>
        </w:tc>
        <w:tc>
          <w:tcPr>
            <w:tcW w:w="566" w:type="dxa"/>
            <w:tcBorders>
              <w:bottom w:val="single" w:sz="4" w:space="0" w:color="000000"/>
            </w:tcBorders>
            <w:vAlign w:val="center"/>
          </w:tcPr>
          <w:p w:rsidR="00222F36" w:rsidRDefault="000B682F">
            <w:pPr>
              <w:spacing w:line="240" w:lineRule="auto"/>
              <w:jc w:val="center"/>
              <w:rPr>
                <w:color w:val="000000"/>
              </w:rPr>
            </w:pPr>
            <w:r>
              <w:rPr>
                <w:color w:val="000000"/>
                <w:sz w:val="24"/>
                <w:szCs w:val="24"/>
              </w:rPr>
              <w:object w:dxaOrig="350" w:dyaOrig="250">
                <v:shape id="_x0000_i1133" type="#_x0000_t75" style="width:17.55pt;height:12.5pt" o:ole="">
                  <v:imagedata r:id="rId27" o:title=""/>
                </v:shape>
                <o:OLEObject Type="Embed" ProgID="Equation.DSMT4" ShapeID="_x0000_i1133" DrawAspect="Content" ObjectID="_1707118232" r:id="rId237"/>
              </w:object>
            </w:r>
          </w:p>
        </w:tc>
        <w:tc>
          <w:tcPr>
            <w:tcW w:w="626" w:type="dxa"/>
            <w:tcBorders>
              <w:bottom w:val="single" w:sz="4" w:space="0" w:color="000000"/>
            </w:tcBorders>
            <w:vAlign w:val="center"/>
          </w:tcPr>
          <w:p w:rsidR="00222F36" w:rsidRDefault="000B682F">
            <w:pPr>
              <w:spacing w:line="240" w:lineRule="auto"/>
              <w:jc w:val="center"/>
              <w:rPr>
                <w:color w:val="000000"/>
              </w:rPr>
            </w:pPr>
            <w:r>
              <w:rPr>
                <w:color w:val="000000"/>
                <w:sz w:val="24"/>
                <w:szCs w:val="24"/>
              </w:rPr>
              <w:object w:dxaOrig="410" w:dyaOrig="250">
                <v:shape id="_x0000_i1134" type="#_x0000_t75" style="width:20.65pt;height:12.5pt" o:ole="">
                  <v:imagedata r:id="rId29" o:title=""/>
                </v:shape>
                <o:OLEObject Type="Embed" ProgID="Equation.DSMT4" ShapeID="_x0000_i1134" DrawAspect="Content" ObjectID="_1707118233" r:id="rId238"/>
              </w:object>
            </w:r>
          </w:p>
        </w:tc>
        <w:tc>
          <w:tcPr>
            <w:tcW w:w="616" w:type="dxa"/>
            <w:tcBorders>
              <w:bottom w:val="single" w:sz="4" w:space="0" w:color="000000"/>
            </w:tcBorders>
            <w:vAlign w:val="center"/>
          </w:tcPr>
          <w:p w:rsidR="00222F36" w:rsidRDefault="000B682F">
            <w:pPr>
              <w:spacing w:line="240" w:lineRule="auto"/>
              <w:jc w:val="center"/>
              <w:rPr>
                <w:color w:val="000000"/>
              </w:rPr>
            </w:pPr>
            <w:r>
              <w:rPr>
                <w:color w:val="000000"/>
                <w:sz w:val="24"/>
                <w:szCs w:val="24"/>
              </w:rPr>
              <w:object w:dxaOrig="400" w:dyaOrig="250">
                <v:shape id="_x0000_i1135" type="#_x0000_t75" style="width:20.05pt;height:12.5pt" o:ole="">
                  <v:imagedata r:id="rId31" o:title=""/>
                </v:shape>
                <o:OLEObject Type="Embed" ProgID="Equation.DSMT4" ShapeID="_x0000_i1135" DrawAspect="Content" ObjectID="_1707118234" r:id="rId239"/>
              </w:object>
            </w:r>
          </w:p>
        </w:tc>
        <w:tc>
          <w:tcPr>
            <w:tcW w:w="605" w:type="dxa"/>
            <w:tcBorders>
              <w:bottom w:val="single" w:sz="4" w:space="0" w:color="000000"/>
            </w:tcBorders>
            <w:vAlign w:val="center"/>
          </w:tcPr>
          <w:p w:rsidR="00222F36" w:rsidRDefault="000B682F">
            <w:pPr>
              <w:spacing w:line="240" w:lineRule="auto"/>
              <w:jc w:val="center"/>
              <w:rPr>
                <w:i/>
                <w:color w:val="000000"/>
              </w:rPr>
            </w:pPr>
            <w:r>
              <w:rPr>
                <w:i/>
                <w:color w:val="000000"/>
              </w:rPr>
              <w:t>EPU</w:t>
            </w:r>
          </w:p>
        </w:tc>
        <w:tc>
          <w:tcPr>
            <w:tcW w:w="656" w:type="dxa"/>
            <w:tcBorders>
              <w:bottom w:val="single" w:sz="4" w:space="0" w:color="000000"/>
            </w:tcBorders>
            <w:vAlign w:val="center"/>
          </w:tcPr>
          <w:p w:rsidR="00222F36" w:rsidRDefault="000B682F">
            <w:pPr>
              <w:spacing w:line="240" w:lineRule="auto"/>
              <w:jc w:val="center"/>
              <w:rPr>
                <w:color w:val="000000"/>
              </w:rPr>
            </w:pPr>
            <w:r>
              <w:rPr>
                <w:color w:val="000000"/>
                <w:sz w:val="33"/>
                <w:szCs w:val="33"/>
                <w:vertAlign w:val="subscript"/>
              </w:rPr>
              <w:object w:dxaOrig="440" w:dyaOrig="290">
                <v:shape id="_x0000_i1136" type="#_x0000_t75" style="width:21.9pt;height:14.4pt" o:ole="">
                  <v:imagedata r:id="rId33" o:title=""/>
                </v:shape>
                <o:OLEObject Type="Embed" ProgID="Equation.DSMT4" ShapeID="_x0000_i1136" DrawAspect="Content" ObjectID="_1707118235" r:id="rId240"/>
              </w:object>
            </w:r>
          </w:p>
        </w:tc>
        <w:tc>
          <w:tcPr>
            <w:tcW w:w="666" w:type="dxa"/>
            <w:tcBorders>
              <w:bottom w:val="single" w:sz="4" w:space="0" w:color="000000"/>
            </w:tcBorders>
            <w:vAlign w:val="center"/>
          </w:tcPr>
          <w:p w:rsidR="00222F36" w:rsidRDefault="000B682F">
            <w:pPr>
              <w:spacing w:line="240" w:lineRule="auto"/>
              <w:jc w:val="center"/>
              <w:rPr>
                <w:color w:val="000000"/>
              </w:rPr>
            </w:pPr>
            <w:r>
              <w:rPr>
                <w:color w:val="000000"/>
                <w:sz w:val="33"/>
                <w:szCs w:val="33"/>
                <w:vertAlign w:val="subscript"/>
              </w:rPr>
              <w:object w:dxaOrig="410" w:dyaOrig="290">
                <v:shape id="_x0000_i1137" type="#_x0000_t75" style="width:20.65pt;height:14.4pt" o:ole="">
                  <v:imagedata r:id="rId35" o:title=""/>
                </v:shape>
                <o:OLEObject Type="Embed" ProgID="Equation.DSMT4" ShapeID="_x0000_i1137" DrawAspect="Content" ObjectID="_1707118236" r:id="rId241"/>
              </w:object>
            </w:r>
          </w:p>
        </w:tc>
      </w:tr>
      <w:tr w:rsidR="00222F36">
        <w:trPr>
          <w:trHeight w:val="300"/>
          <w:jc w:val="center"/>
        </w:trPr>
        <w:tc>
          <w:tcPr>
            <w:tcW w:w="739" w:type="dxa"/>
            <w:tcBorders>
              <w:top w:val="single" w:sz="4" w:space="0" w:color="000000"/>
            </w:tcBorders>
          </w:tcPr>
          <w:p w:rsidR="00222F36" w:rsidRDefault="000B682F">
            <w:pPr>
              <w:jc w:val="center"/>
            </w:pPr>
            <w:r>
              <w:t>1</w:t>
            </w:r>
          </w:p>
        </w:tc>
        <w:tc>
          <w:tcPr>
            <w:tcW w:w="666" w:type="dxa"/>
            <w:tcBorders>
              <w:top w:val="single" w:sz="4" w:space="0" w:color="000000"/>
            </w:tcBorders>
          </w:tcPr>
          <w:p w:rsidR="00222F36" w:rsidRDefault="000B682F">
            <w:pPr>
              <w:jc w:val="center"/>
            </w:pPr>
            <w:r>
              <w:t>0.00</w:t>
            </w:r>
          </w:p>
        </w:tc>
        <w:tc>
          <w:tcPr>
            <w:tcW w:w="694" w:type="dxa"/>
            <w:tcBorders>
              <w:top w:val="single" w:sz="4" w:space="0" w:color="000000"/>
            </w:tcBorders>
          </w:tcPr>
          <w:p w:rsidR="00222F36" w:rsidRDefault="000B682F">
            <w:pPr>
              <w:jc w:val="center"/>
            </w:pPr>
            <w:r>
              <w:t>0.00</w:t>
            </w:r>
          </w:p>
        </w:tc>
        <w:tc>
          <w:tcPr>
            <w:tcW w:w="666" w:type="dxa"/>
            <w:tcBorders>
              <w:top w:val="single" w:sz="4" w:space="0" w:color="000000"/>
            </w:tcBorders>
          </w:tcPr>
          <w:p w:rsidR="00222F36" w:rsidRDefault="000B682F">
            <w:pPr>
              <w:jc w:val="center"/>
            </w:pPr>
            <w:r>
              <w:t>0.00</w:t>
            </w:r>
          </w:p>
        </w:tc>
        <w:tc>
          <w:tcPr>
            <w:tcW w:w="566" w:type="dxa"/>
            <w:tcBorders>
              <w:top w:val="single" w:sz="4" w:space="0" w:color="000000"/>
            </w:tcBorders>
          </w:tcPr>
          <w:p w:rsidR="00222F36" w:rsidRDefault="000B682F">
            <w:pPr>
              <w:jc w:val="center"/>
            </w:pPr>
            <w:r>
              <w:t>0.00</w:t>
            </w:r>
          </w:p>
        </w:tc>
        <w:tc>
          <w:tcPr>
            <w:tcW w:w="566" w:type="dxa"/>
            <w:tcBorders>
              <w:top w:val="single" w:sz="4" w:space="0" w:color="000000"/>
            </w:tcBorders>
          </w:tcPr>
          <w:p w:rsidR="00222F36" w:rsidRDefault="000B682F">
            <w:pPr>
              <w:jc w:val="center"/>
            </w:pPr>
            <w:r>
              <w:t>0.00</w:t>
            </w:r>
          </w:p>
        </w:tc>
        <w:tc>
          <w:tcPr>
            <w:tcW w:w="626" w:type="dxa"/>
            <w:tcBorders>
              <w:top w:val="single" w:sz="4" w:space="0" w:color="000000"/>
            </w:tcBorders>
          </w:tcPr>
          <w:p w:rsidR="00222F36" w:rsidRDefault="000B682F">
            <w:pPr>
              <w:jc w:val="center"/>
            </w:pPr>
            <w:r>
              <w:t>0.00</w:t>
            </w:r>
          </w:p>
        </w:tc>
        <w:tc>
          <w:tcPr>
            <w:tcW w:w="616" w:type="dxa"/>
            <w:tcBorders>
              <w:top w:val="single" w:sz="4" w:space="0" w:color="000000"/>
            </w:tcBorders>
          </w:tcPr>
          <w:p w:rsidR="00222F36" w:rsidRDefault="000B682F">
            <w:pPr>
              <w:jc w:val="center"/>
            </w:pPr>
            <w:r>
              <w:t>0.00</w:t>
            </w:r>
          </w:p>
        </w:tc>
        <w:tc>
          <w:tcPr>
            <w:tcW w:w="605" w:type="dxa"/>
            <w:tcBorders>
              <w:top w:val="single" w:sz="4" w:space="0" w:color="000000"/>
            </w:tcBorders>
          </w:tcPr>
          <w:p w:rsidR="00222F36" w:rsidRDefault="000B682F">
            <w:pPr>
              <w:jc w:val="center"/>
            </w:pPr>
            <w:r>
              <w:t>0.00</w:t>
            </w:r>
          </w:p>
        </w:tc>
        <w:tc>
          <w:tcPr>
            <w:tcW w:w="656" w:type="dxa"/>
            <w:tcBorders>
              <w:top w:val="single" w:sz="4" w:space="0" w:color="000000"/>
            </w:tcBorders>
          </w:tcPr>
          <w:p w:rsidR="00222F36" w:rsidRDefault="000B682F">
            <w:pPr>
              <w:jc w:val="center"/>
            </w:pPr>
            <w:r>
              <w:t>0.00</w:t>
            </w:r>
          </w:p>
        </w:tc>
        <w:tc>
          <w:tcPr>
            <w:tcW w:w="666" w:type="dxa"/>
            <w:tcBorders>
              <w:top w:val="single" w:sz="4" w:space="0" w:color="000000"/>
            </w:tcBorders>
          </w:tcPr>
          <w:p w:rsidR="00222F36" w:rsidRDefault="000B682F">
            <w:pPr>
              <w:jc w:val="center"/>
            </w:pPr>
            <w:r>
              <w:t>80.76</w:t>
            </w:r>
          </w:p>
        </w:tc>
      </w:tr>
      <w:tr w:rsidR="00222F36">
        <w:trPr>
          <w:trHeight w:val="300"/>
          <w:jc w:val="center"/>
        </w:trPr>
        <w:tc>
          <w:tcPr>
            <w:tcW w:w="739" w:type="dxa"/>
          </w:tcPr>
          <w:p w:rsidR="00222F36" w:rsidRDefault="000B682F">
            <w:pPr>
              <w:jc w:val="center"/>
            </w:pPr>
            <w:r>
              <w:t>2</w:t>
            </w:r>
          </w:p>
        </w:tc>
        <w:tc>
          <w:tcPr>
            <w:tcW w:w="666" w:type="dxa"/>
          </w:tcPr>
          <w:p w:rsidR="00222F36" w:rsidRDefault="000B682F">
            <w:pPr>
              <w:jc w:val="center"/>
            </w:pPr>
            <w:r>
              <w:t>1.54</w:t>
            </w:r>
          </w:p>
        </w:tc>
        <w:tc>
          <w:tcPr>
            <w:tcW w:w="694" w:type="dxa"/>
          </w:tcPr>
          <w:p w:rsidR="00222F36" w:rsidRDefault="000B682F">
            <w:pPr>
              <w:jc w:val="center"/>
            </w:pPr>
            <w:r>
              <w:t>0.12</w:t>
            </w:r>
          </w:p>
        </w:tc>
        <w:tc>
          <w:tcPr>
            <w:tcW w:w="666" w:type="dxa"/>
          </w:tcPr>
          <w:p w:rsidR="00222F36" w:rsidRDefault="000B682F">
            <w:pPr>
              <w:jc w:val="center"/>
            </w:pPr>
            <w:r>
              <w:t>1.03</w:t>
            </w:r>
          </w:p>
        </w:tc>
        <w:tc>
          <w:tcPr>
            <w:tcW w:w="566" w:type="dxa"/>
          </w:tcPr>
          <w:p w:rsidR="00222F36" w:rsidRDefault="000B682F">
            <w:pPr>
              <w:jc w:val="center"/>
            </w:pPr>
            <w:r>
              <w:t>0.12</w:t>
            </w:r>
          </w:p>
        </w:tc>
        <w:tc>
          <w:tcPr>
            <w:tcW w:w="566" w:type="dxa"/>
          </w:tcPr>
          <w:p w:rsidR="00222F36" w:rsidRDefault="000B682F">
            <w:pPr>
              <w:jc w:val="center"/>
            </w:pPr>
            <w:r>
              <w:t>0.12</w:t>
            </w:r>
          </w:p>
        </w:tc>
        <w:tc>
          <w:tcPr>
            <w:tcW w:w="626" w:type="dxa"/>
          </w:tcPr>
          <w:p w:rsidR="00222F36" w:rsidRDefault="000B682F">
            <w:pPr>
              <w:jc w:val="center"/>
            </w:pPr>
            <w:r>
              <w:t>0.13</w:t>
            </w:r>
          </w:p>
        </w:tc>
        <w:tc>
          <w:tcPr>
            <w:tcW w:w="616" w:type="dxa"/>
          </w:tcPr>
          <w:p w:rsidR="00222F36" w:rsidRDefault="000B682F">
            <w:pPr>
              <w:jc w:val="center"/>
            </w:pPr>
            <w:r>
              <w:t>0.32</w:t>
            </w:r>
          </w:p>
        </w:tc>
        <w:tc>
          <w:tcPr>
            <w:tcW w:w="605" w:type="dxa"/>
          </w:tcPr>
          <w:p w:rsidR="00222F36" w:rsidRDefault="000B682F">
            <w:pPr>
              <w:jc w:val="center"/>
            </w:pPr>
            <w:r>
              <w:t>0.87</w:t>
            </w:r>
          </w:p>
        </w:tc>
        <w:tc>
          <w:tcPr>
            <w:tcW w:w="656" w:type="dxa"/>
          </w:tcPr>
          <w:p w:rsidR="00222F36" w:rsidRDefault="000B682F">
            <w:pPr>
              <w:jc w:val="center"/>
            </w:pPr>
            <w:r>
              <w:t>0.07</w:t>
            </w:r>
          </w:p>
        </w:tc>
        <w:tc>
          <w:tcPr>
            <w:tcW w:w="666" w:type="dxa"/>
          </w:tcPr>
          <w:p w:rsidR="00222F36" w:rsidRDefault="000B682F">
            <w:pPr>
              <w:jc w:val="center"/>
            </w:pPr>
            <w:r>
              <w:t>74.38</w:t>
            </w:r>
          </w:p>
        </w:tc>
      </w:tr>
      <w:tr w:rsidR="00222F36">
        <w:trPr>
          <w:trHeight w:val="300"/>
          <w:jc w:val="center"/>
        </w:trPr>
        <w:tc>
          <w:tcPr>
            <w:tcW w:w="739" w:type="dxa"/>
          </w:tcPr>
          <w:p w:rsidR="00222F36" w:rsidRDefault="000B682F">
            <w:pPr>
              <w:jc w:val="center"/>
            </w:pPr>
            <w:r>
              <w:t>3</w:t>
            </w:r>
          </w:p>
        </w:tc>
        <w:tc>
          <w:tcPr>
            <w:tcW w:w="666" w:type="dxa"/>
          </w:tcPr>
          <w:p w:rsidR="00222F36" w:rsidRDefault="000B682F">
            <w:pPr>
              <w:jc w:val="center"/>
            </w:pPr>
            <w:r>
              <w:t>3.56</w:t>
            </w:r>
          </w:p>
        </w:tc>
        <w:tc>
          <w:tcPr>
            <w:tcW w:w="694" w:type="dxa"/>
          </w:tcPr>
          <w:p w:rsidR="00222F36" w:rsidRDefault="000B682F">
            <w:pPr>
              <w:jc w:val="center"/>
            </w:pPr>
            <w:r>
              <w:t>0.39</w:t>
            </w:r>
          </w:p>
        </w:tc>
        <w:tc>
          <w:tcPr>
            <w:tcW w:w="666" w:type="dxa"/>
          </w:tcPr>
          <w:p w:rsidR="00222F36" w:rsidRDefault="000B682F">
            <w:pPr>
              <w:jc w:val="center"/>
            </w:pPr>
            <w:r>
              <w:t>2.36</w:t>
            </w:r>
          </w:p>
        </w:tc>
        <w:tc>
          <w:tcPr>
            <w:tcW w:w="566" w:type="dxa"/>
          </w:tcPr>
          <w:p w:rsidR="00222F36" w:rsidRDefault="000B682F">
            <w:pPr>
              <w:jc w:val="center"/>
            </w:pPr>
            <w:r>
              <w:t>0.56</w:t>
            </w:r>
          </w:p>
        </w:tc>
        <w:tc>
          <w:tcPr>
            <w:tcW w:w="566" w:type="dxa"/>
          </w:tcPr>
          <w:p w:rsidR="00222F36" w:rsidRDefault="000B682F">
            <w:pPr>
              <w:jc w:val="center"/>
            </w:pPr>
            <w:r>
              <w:t>0.31</w:t>
            </w:r>
          </w:p>
        </w:tc>
        <w:tc>
          <w:tcPr>
            <w:tcW w:w="626" w:type="dxa"/>
          </w:tcPr>
          <w:p w:rsidR="00222F36" w:rsidRDefault="000B682F">
            <w:pPr>
              <w:jc w:val="center"/>
            </w:pPr>
            <w:r>
              <w:t>0.29</w:t>
            </w:r>
          </w:p>
        </w:tc>
        <w:tc>
          <w:tcPr>
            <w:tcW w:w="616" w:type="dxa"/>
          </w:tcPr>
          <w:p w:rsidR="00222F36" w:rsidRDefault="000B682F">
            <w:pPr>
              <w:jc w:val="center"/>
            </w:pPr>
            <w:r>
              <w:t>2.08</w:t>
            </w:r>
          </w:p>
        </w:tc>
        <w:tc>
          <w:tcPr>
            <w:tcW w:w="605" w:type="dxa"/>
          </w:tcPr>
          <w:p w:rsidR="00222F36" w:rsidRDefault="000B682F">
            <w:pPr>
              <w:jc w:val="center"/>
            </w:pPr>
            <w:r>
              <w:t>0.76</w:t>
            </w:r>
          </w:p>
        </w:tc>
        <w:tc>
          <w:tcPr>
            <w:tcW w:w="656" w:type="dxa"/>
          </w:tcPr>
          <w:p w:rsidR="00222F36" w:rsidRDefault="000B682F">
            <w:pPr>
              <w:jc w:val="center"/>
            </w:pPr>
            <w:r>
              <w:t>1.22</w:t>
            </w:r>
          </w:p>
        </w:tc>
        <w:tc>
          <w:tcPr>
            <w:tcW w:w="666" w:type="dxa"/>
          </w:tcPr>
          <w:p w:rsidR="00222F36" w:rsidRDefault="000B682F">
            <w:pPr>
              <w:jc w:val="center"/>
            </w:pPr>
            <w:r>
              <w:t>68.16</w:t>
            </w:r>
          </w:p>
        </w:tc>
      </w:tr>
      <w:tr w:rsidR="00222F36">
        <w:trPr>
          <w:trHeight w:val="300"/>
          <w:jc w:val="center"/>
        </w:trPr>
        <w:tc>
          <w:tcPr>
            <w:tcW w:w="739" w:type="dxa"/>
          </w:tcPr>
          <w:p w:rsidR="00222F36" w:rsidRDefault="000B682F">
            <w:pPr>
              <w:jc w:val="center"/>
            </w:pPr>
            <w:r>
              <w:t>4</w:t>
            </w:r>
          </w:p>
        </w:tc>
        <w:tc>
          <w:tcPr>
            <w:tcW w:w="666" w:type="dxa"/>
          </w:tcPr>
          <w:p w:rsidR="00222F36" w:rsidRDefault="000B682F">
            <w:pPr>
              <w:jc w:val="center"/>
            </w:pPr>
            <w:r>
              <w:t>5.60</w:t>
            </w:r>
          </w:p>
        </w:tc>
        <w:tc>
          <w:tcPr>
            <w:tcW w:w="694" w:type="dxa"/>
          </w:tcPr>
          <w:p w:rsidR="00222F36" w:rsidRDefault="000B682F">
            <w:pPr>
              <w:jc w:val="center"/>
            </w:pPr>
            <w:r>
              <w:t>1.07</w:t>
            </w:r>
          </w:p>
        </w:tc>
        <w:tc>
          <w:tcPr>
            <w:tcW w:w="666" w:type="dxa"/>
          </w:tcPr>
          <w:p w:rsidR="00222F36" w:rsidRDefault="000B682F">
            <w:pPr>
              <w:jc w:val="center"/>
            </w:pPr>
            <w:r>
              <w:t>4.08</w:t>
            </w:r>
          </w:p>
        </w:tc>
        <w:tc>
          <w:tcPr>
            <w:tcW w:w="566" w:type="dxa"/>
          </w:tcPr>
          <w:p w:rsidR="00222F36" w:rsidRDefault="000B682F">
            <w:pPr>
              <w:jc w:val="center"/>
            </w:pPr>
            <w:r>
              <w:t>1.26</w:t>
            </w:r>
          </w:p>
        </w:tc>
        <w:tc>
          <w:tcPr>
            <w:tcW w:w="566" w:type="dxa"/>
          </w:tcPr>
          <w:p w:rsidR="00222F36" w:rsidRDefault="000B682F">
            <w:pPr>
              <w:jc w:val="center"/>
            </w:pPr>
            <w:r>
              <w:t>0.53</w:t>
            </w:r>
          </w:p>
        </w:tc>
        <w:tc>
          <w:tcPr>
            <w:tcW w:w="626" w:type="dxa"/>
          </w:tcPr>
          <w:p w:rsidR="00222F36" w:rsidRDefault="000B682F">
            <w:pPr>
              <w:jc w:val="center"/>
            </w:pPr>
            <w:r>
              <w:t>0.49</w:t>
            </w:r>
          </w:p>
        </w:tc>
        <w:tc>
          <w:tcPr>
            <w:tcW w:w="616" w:type="dxa"/>
          </w:tcPr>
          <w:p w:rsidR="00222F36" w:rsidRDefault="000B682F">
            <w:pPr>
              <w:jc w:val="center"/>
            </w:pPr>
            <w:r>
              <w:t>4.71</w:t>
            </w:r>
          </w:p>
        </w:tc>
        <w:tc>
          <w:tcPr>
            <w:tcW w:w="605" w:type="dxa"/>
          </w:tcPr>
          <w:p w:rsidR="00222F36" w:rsidRDefault="000B682F">
            <w:pPr>
              <w:jc w:val="center"/>
            </w:pPr>
            <w:r>
              <w:t>0.84</w:t>
            </w:r>
          </w:p>
        </w:tc>
        <w:tc>
          <w:tcPr>
            <w:tcW w:w="656" w:type="dxa"/>
          </w:tcPr>
          <w:p w:rsidR="00222F36" w:rsidRDefault="000B682F">
            <w:pPr>
              <w:jc w:val="center"/>
            </w:pPr>
            <w:r>
              <w:t>2.98</w:t>
            </w:r>
          </w:p>
        </w:tc>
        <w:tc>
          <w:tcPr>
            <w:tcW w:w="666" w:type="dxa"/>
          </w:tcPr>
          <w:p w:rsidR="00222F36" w:rsidRDefault="000B682F">
            <w:pPr>
              <w:jc w:val="center"/>
            </w:pPr>
            <w:r>
              <w:t>63.03</w:t>
            </w:r>
          </w:p>
        </w:tc>
      </w:tr>
      <w:tr w:rsidR="00222F36">
        <w:trPr>
          <w:trHeight w:val="300"/>
          <w:jc w:val="center"/>
        </w:trPr>
        <w:tc>
          <w:tcPr>
            <w:tcW w:w="739" w:type="dxa"/>
          </w:tcPr>
          <w:p w:rsidR="00222F36" w:rsidRDefault="000B682F">
            <w:pPr>
              <w:jc w:val="center"/>
            </w:pPr>
            <w:r>
              <w:t>5</w:t>
            </w:r>
          </w:p>
        </w:tc>
        <w:tc>
          <w:tcPr>
            <w:tcW w:w="666" w:type="dxa"/>
          </w:tcPr>
          <w:p w:rsidR="00222F36" w:rsidRDefault="000B682F">
            <w:pPr>
              <w:jc w:val="center"/>
            </w:pPr>
            <w:r>
              <w:t>7.30</w:t>
            </w:r>
          </w:p>
        </w:tc>
        <w:tc>
          <w:tcPr>
            <w:tcW w:w="694" w:type="dxa"/>
          </w:tcPr>
          <w:p w:rsidR="00222F36" w:rsidRDefault="000B682F">
            <w:pPr>
              <w:jc w:val="center"/>
            </w:pPr>
            <w:r>
              <w:t>1.82</w:t>
            </w:r>
          </w:p>
        </w:tc>
        <w:tc>
          <w:tcPr>
            <w:tcW w:w="666" w:type="dxa"/>
          </w:tcPr>
          <w:p w:rsidR="00222F36" w:rsidRDefault="000B682F">
            <w:pPr>
              <w:jc w:val="center"/>
            </w:pPr>
            <w:r>
              <w:t>5.70</w:t>
            </w:r>
          </w:p>
        </w:tc>
        <w:tc>
          <w:tcPr>
            <w:tcW w:w="566" w:type="dxa"/>
          </w:tcPr>
          <w:p w:rsidR="00222F36" w:rsidRDefault="000B682F">
            <w:pPr>
              <w:jc w:val="center"/>
            </w:pPr>
            <w:r>
              <w:t>2.16</w:t>
            </w:r>
          </w:p>
        </w:tc>
        <w:tc>
          <w:tcPr>
            <w:tcW w:w="566" w:type="dxa"/>
          </w:tcPr>
          <w:p w:rsidR="00222F36" w:rsidRDefault="000B682F">
            <w:pPr>
              <w:jc w:val="center"/>
            </w:pPr>
            <w:r>
              <w:t>0.80</w:t>
            </w:r>
          </w:p>
        </w:tc>
        <w:tc>
          <w:tcPr>
            <w:tcW w:w="626" w:type="dxa"/>
          </w:tcPr>
          <w:p w:rsidR="00222F36" w:rsidRDefault="000B682F">
            <w:pPr>
              <w:jc w:val="center"/>
            </w:pPr>
            <w:r>
              <w:t>0.72</w:t>
            </w:r>
          </w:p>
        </w:tc>
        <w:tc>
          <w:tcPr>
            <w:tcW w:w="616" w:type="dxa"/>
          </w:tcPr>
          <w:p w:rsidR="00222F36" w:rsidRDefault="000B682F">
            <w:pPr>
              <w:jc w:val="center"/>
            </w:pPr>
            <w:r>
              <w:t>6.80</w:t>
            </w:r>
          </w:p>
        </w:tc>
        <w:tc>
          <w:tcPr>
            <w:tcW w:w="605" w:type="dxa"/>
          </w:tcPr>
          <w:p w:rsidR="00222F36" w:rsidRDefault="000B682F">
            <w:pPr>
              <w:jc w:val="center"/>
            </w:pPr>
            <w:r>
              <w:t>0.97</w:t>
            </w:r>
          </w:p>
        </w:tc>
        <w:tc>
          <w:tcPr>
            <w:tcW w:w="656" w:type="dxa"/>
          </w:tcPr>
          <w:p w:rsidR="00222F36" w:rsidRDefault="000B682F">
            <w:pPr>
              <w:jc w:val="center"/>
            </w:pPr>
            <w:r>
              <w:t>4.41</w:t>
            </w:r>
          </w:p>
        </w:tc>
        <w:tc>
          <w:tcPr>
            <w:tcW w:w="666" w:type="dxa"/>
          </w:tcPr>
          <w:p w:rsidR="00222F36" w:rsidRDefault="000B682F">
            <w:pPr>
              <w:jc w:val="center"/>
            </w:pPr>
            <w:r>
              <w:t>59.14</w:t>
            </w:r>
          </w:p>
        </w:tc>
      </w:tr>
      <w:tr w:rsidR="00222F36">
        <w:trPr>
          <w:trHeight w:val="300"/>
          <w:jc w:val="center"/>
        </w:trPr>
        <w:tc>
          <w:tcPr>
            <w:tcW w:w="739" w:type="dxa"/>
          </w:tcPr>
          <w:p w:rsidR="00222F36" w:rsidRDefault="000B682F">
            <w:pPr>
              <w:jc w:val="center"/>
            </w:pPr>
            <w:r>
              <w:t>10</w:t>
            </w:r>
          </w:p>
        </w:tc>
        <w:tc>
          <w:tcPr>
            <w:tcW w:w="666" w:type="dxa"/>
          </w:tcPr>
          <w:p w:rsidR="00222F36" w:rsidRDefault="000B682F">
            <w:pPr>
              <w:jc w:val="center"/>
            </w:pPr>
            <w:r>
              <w:t>10.12</w:t>
            </w:r>
          </w:p>
        </w:tc>
        <w:tc>
          <w:tcPr>
            <w:tcW w:w="694" w:type="dxa"/>
          </w:tcPr>
          <w:p w:rsidR="00222F36" w:rsidRDefault="000B682F">
            <w:pPr>
              <w:jc w:val="center"/>
            </w:pPr>
            <w:r>
              <w:t>2.62</w:t>
            </w:r>
          </w:p>
        </w:tc>
        <w:tc>
          <w:tcPr>
            <w:tcW w:w="666" w:type="dxa"/>
          </w:tcPr>
          <w:p w:rsidR="00222F36" w:rsidRDefault="000B682F">
            <w:pPr>
              <w:jc w:val="center"/>
            </w:pPr>
            <w:r>
              <w:t>10.72</w:t>
            </w:r>
          </w:p>
        </w:tc>
        <w:tc>
          <w:tcPr>
            <w:tcW w:w="566" w:type="dxa"/>
          </w:tcPr>
          <w:p w:rsidR="00222F36" w:rsidRDefault="000B682F">
            <w:pPr>
              <w:jc w:val="center"/>
            </w:pPr>
            <w:r>
              <w:t>6.02</w:t>
            </w:r>
          </w:p>
        </w:tc>
        <w:tc>
          <w:tcPr>
            <w:tcW w:w="566" w:type="dxa"/>
          </w:tcPr>
          <w:p w:rsidR="00222F36" w:rsidRDefault="000B682F">
            <w:pPr>
              <w:jc w:val="center"/>
            </w:pPr>
            <w:r>
              <w:t>2.72</w:t>
            </w:r>
          </w:p>
        </w:tc>
        <w:tc>
          <w:tcPr>
            <w:tcW w:w="626" w:type="dxa"/>
          </w:tcPr>
          <w:p w:rsidR="00222F36" w:rsidRDefault="000B682F">
            <w:pPr>
              <w:jc w:val="center"/>
            </w:pPr>
            <w:r>
              <w:t>2.38</w:t>
            </w:r>
          </w:p>
        </w:tc>
        <w:tc>
          <w:tcPr>
            <w:tcW w:w="616" w:type="dxa"/>
          </w:tcPr>
          <w:p w:rsidR="00222F36" w:rsidRDefault="000B682F">
            <w:pPr>
              <w:jc w:val="center"/>
            </w:pPr>
            <w:r>
              <w:t>7.42</w:t>
            </w:r>
          </w:p>
        </w:tc>
        <w:tc>
          <w:tcPr>
            <w:tcW w:w="605" w:type="dxa"/>
          </w:tcPr>
          <w:p w:rsidR="00222F36" w:rsidRDefault="000B682F">
            <w:pPr>
              <w:jc w:val="center"/>
            </w:pPr>
            <w:r>
              <w:t>0.78</w:t>
            </w:r>
          </w:p>
        </w:tc>
        <w:tc>
          <w:tcPr>
            <w:tcW w:w="656" w:type="dxa"/>
          </w:tcPr>
          <w:p w:rsidR="00222F36" w:rsidRDefault="000B682F">
            <w:pPr>
              <w:jc w:val="center"/>
            </w:pPr>
            <w:r>
              <w:t>7.41</w:t>
            </w:r>
          </w:p>
        </w:tc>
        <w:tc>
          <w:tcPr>
            <w:tcW w:w="666" w:type="dxa"/>
          </w:tcPr>
          <w:p w:rsidR="00222F36" w:rsidRDefault="000B682F">
            <w:pPr>
              <w:jc w:val="center"/>
            </w:pPr>
            <w:r>
              <w:t>48.68</w:t>
            </w:r>
          </w:p>
        </w:tc>
      </w:tr>
      <w:tr w:rsidR="00222F36">
        <w:trPr>
          <w:trHeight w:val="300"/>
          <w:jc w:val="center"/>
        </w:trPr>
        <w:tc>
          <w:tcPr>
            <w:tcW w:w="739" w:type="dxa"/>
          </w:tcPr>
          <w:p w:rsidR="00222F36" w:rsidRDefault="000B682F">
            <w:pPr>
              <w:jc w:val="center"/>
            </w:pPr>
            <w:r>
              <w:t>15</w:t>
            </w:r>
          </w:p>
        </w:tc>
        <w:tc>
          <w:tcPr>
            <w:tcW w:w="666" w:type="dxa"/>
          </w:tcPr>
          <w:p w:rsidR="00222F36" w:rsidRDefault="000B682F">
            <w:pPr>
              <w:jc w:val="center"/>
            </w:pPr>
            <w:r>
              <w:t>9.47</w:t>
            </w:r>
          </w:p>
        </w:tc>
        <w:tc>
          <w:tcPr>
            <w:tcW w:w="694" w:type="dxa"/>
          </w:tcPr>
          <w:p w:rsidR="00222F36" w:rsidRDefault="000B682F">
            <w:pPr>
              <w:jc w:val="center"/>
            </w:pPr>
            <w:r>
              <w:t>2.39</w:t>
            </w:r>
          </w:p>
        </w:tc>
        <w:tc>
          <w:tcPr>
            <w:tcW w:w="666" w:type="dxa"/>
          </w:tcPr>
          <w:p w:rsidR="00222F36" w:rsidRDefault="000B682F">
            <w:pPr>
              <w:jc w:val="center"/>
            </w:pPr>
            <w:r>
              <w:t>12.20</w:t>
            </w:r>
          </w:p>
        </w:tc>
        <w:tc>
          <w:tcPr>
            <w:tcW w:w="566" w:type="dxa"/>
          </w:tcPr>
          <w:p w:rsidR="00222F36" w:rsidRDefault="000B682F">
            <w:pPr>
              <w:jc w:val="center"/>
            </w:pPr>
            <w:r>
              <w:t>7.56</w:t>
            </w:r>
          </w:p>
        </w:tc>
        <w:tc>
          <w:tcPr>
            <w:tcW w:w="566" w:type="dxa"/>
          </w:tcPr>
          <w:p w:rsidR="00222F36" w:rsidRDefault="000B682F">
            <w:pPr>
              <w:jc w:val="center"/>
            </w:pPr>
            <w:r>
              <w:t>4.77</w:t>
            </w:r>
          </w:p>
        </w:tc>
        <w:tc>
          <w:tcPr>
            <w:tcW w:w="626" w:type="dxa"/>
          </w:tcPr>
          <w:p w:rsidR="00222F36" w:rsidRDefault="000B682F">
            <w:pPr>
              <w:jc w:val="center"/>
            </w:pPr>
            <w:r>
              <w:t>4.15</w:t>
            </w:r>
          </w:p>
        </w:tc>
        <w:tc>
          <w:tcPr>
            <w:tcW w:w="616" w:type="dxa"/>
          </w:tcPr>
          <w:p w:rsidR="00222F36" w:rsidRDefault="000B682F">
            <w:pPr>
              <w:jc w:val="center"/>
            </w:pPr>
            <w:r>
              <w:t>6.07</w:t>
            </w:r>
          </w:p>
        </w:tc>
        <w:tc>
          <w:tcPr>
            <w:tcW w:w="605" w:type="dxa"/>
          </w:tcPr>
          <w:p w:rsidR="00222F36" w:rsidRDefault="000B682F">
            <w:pPr>
              <w:jc w:val="center"/>
            </w:pPr>
            <w:r>
              <w:t>0.62</w:t>
            </w:r>
          </w:p>
        </w:tc>
        <w:tc>
          <w:tcPr>
            <w:tcW w:w="656" w:type="dxa"/>
          </w:tcPr>
          <w:p w:rsidR="00222F36" w:rsidRDefault="000B682F">
            <w:pPr>
              <w:jc w:val="center"/>
            </w:pPr>
            <w:r>
              <w:t>8.59</w:t>
            </w:r>
          </w:p>
        </w:tc>
        <w:tc>
          <w:tcPr>
            <w:tcW w:w="666" w:type="dxa"/>
          </w:tcPr>
          <w:p w:rsidR="00222F36" w:rsidRDefault="000B682F">
            <w:pPr>
              <w:jc w:val="center"/>
            </w:pPr>
            <w:r>
              <w:t>42.41</w:t>
            </w:r>
          </w:p>
        </w:tc>
      </w:tr>
      <w:tr w:rsidR="00222F36">
        <w:trPr>
          <w:trHeight w:val="300"/>
          <w:jc w:val="center"/>
        </w:trPr>
        <w:tc>
          <w:tcPr>
            <w:tcW w:w="739" w:type="dxa"/>
            <w:tcBorders>
              <w:bottom w:val="single" w:sz="4" w:space="0" w:color="000000"/>
            </w:tcBorders>
          </w:tcPr>
          <w:p w:rsidR="00222F36" w:rsidRDefault="000B682F">
            <w:pPr>
              <w:jc w:val="center"/>
            </w:pPr>
            <w:r>
              <w:t>20</w:t>
            </w:r>
          </w:p>
        </w:tc>
        <w:tc>
          <w:tcPr>
            <w:tcW w:w="666" w:type="dxa"/>
            <w:tcBorders>
              <w:bottom w:val="single" w:sz="4" w:space="0" w:color="000000"/>
            </w:tcBorders>
          </w:tcPr>
          <w:p w:rsidR="00222F36" w:rsidRDefault="000B682F">
            <w:pPr>
              <w:jc w:val="center"/>
            </w:pPr>
            <w:r>
              <w:t>8.65</w:t>
            </w:r>
          </w:p>
        </w:tc>
        <w:tc>
          <w:tcPr>
            <w:tcW w:w="694" w:type="dxa"/>
            <w:tcBorders>
              <w:bottom w:val="single" w:sz="4" w:space="0" w:color="000000"/>
            </w:tcBorders>
          </w:tcPr>
          <w:p w:rsidR="00222F36" w:rsidRDefault="000B682F">
            <w:pPr>
              <w:jc w:val="center"/>
            </w:pPr>
            <w:r>
              <w:t>2.14</w:t>
            </w:r>
          </w:p>
        </w:tc>
        <w:tc>
          <w:tcPr>
            <w:tcW w:w="666" w:type="dxa"/>
            <w:tcBorders>
              <w:bottom w:val="single" w:sz="4" w:space="0" w:color="000000"/>
            </w:tcBorders>
          </w:tcPr>
          <w:p w:rsidR="00222F36" w:rsidRDefault="000B682F">
            <w:pPr>
              <w:jc w:val="center"/>
            </w:pPr>
            <w:r>
              <w:t>12.46</w:t>
            </w:r>
          </w:p>
        </w:tc>
        <w:tc>
          <w:tcPr>
            <w:tcW w:w="566" w:type="dxa"/>
            <w:tcBorders>
              <w:bottom w:val="single" w:sz="4" w:space="0" w:color="000000"/>
            </w:tcBorders>
          </w:tcPr>
          <w:p w:rsidR="00222F36" w:rsidRDefault="000B682F">
            <w:pPr>
              <w:jc w:val="center"/>
            </w:pPr>
            <w:r>
              <w:t>8.07</w:t>
            </w:r>
          </w:p>
        </w:tc>
        <w:tc>
          <w:tcPr>
            <w:tcW w:w="566" w:type="dxa"/>
            <w:tcBorders>
              <w:bottom w:val="single" w:sz="4" w:space="0" w:color="000000"/>
            </w:tcBorders>
          </w:tcPr>
          <w:p w:rsidR="00222F36" w:rsidRDefault="000B682F">
            <w:pPr>
              <w:jc w:val="center"/>
            </w:pPr>
            <w:r>
              <w:t>6.23</w:t>
            </w:r>
          </w:p>
        </w:tc>
        <w:tc>
          <w:tcPr>
            <w:tcW w:w="626" w:type="dxa"/>
            <w:tcBorders>
              <w:bottom w:val="single" w:sz="4" w:space="0" w:color="000000"/>
            </w:tcBorders>
          </w:tcPr>
          <w:p w:rsidR="00222F36" w:rsidRDefault="000B682F">
            <w:pPr>
              <w:jc w:val="center"/>
            </w:pPr>
            <w:r>
              <w:t>5.40</w:t>
            </w:r>
          </w:p>
        </w:tc>
        <w:tc>
          <w:tcPr>
            <w:tcW w:w="616" w:type="dxa"/>
            <w:tcBorders>
              <w:bottom w:val="single" w:sz="4" w:space="0" w:color="000000"/>
            </w:tcBorders>
          </w:tcPr>
          <w:p w:rsidR="00222F36" w:rsidRDefault="000B682F">
            <w:pPr>
              <w:jc w:val="center"/>
            </w:pPr>
            <w:r>
              <w:t>5.04</w:t>
            </w:r>
          </w:p>
        </w:tc>
        <w:tc>
          <w:tcPr>
            <w:tcW w:w="605" w:type="dxa"/>
            <w:tcBorders>
              <w:bottom w:val="single" w:sz="4" w:space="0" w:color="000000"/>
            </w:tcBorders>
          </w:tcPr>
          <w:p w:rsidR="00222F36" w:rsidRDefault="000B682F">
            <w:pPr>
              <w:jc w:val="center"/>
            </w:pPr>
            <w:r>
              <w:t>0.51</w:t>
            </w:r>
          </w:p>
        </w:tc>
        <w:tc>
          <w:tcPr>
            <w:tcW w:w="656" w:type="dxa"/>
            <w:tcBorders>
              <w:bottom w:val="single" w:sz="4" w:space="0" w:color="000000"/>
            </w:tcBorders>
          </w:tcPr>
          <w:p w:rsidR="00222F36" w:rsidRDefault="000B682F">
            <w:pPr>
              <w:jc w:val="center"/>
            </w:pPr>
            <w:r>
              <w:t>9.01</w:t>
            </w:r>
          </w:p>
        </w:tc>
        <w:tc>
          <w:tcPr>
            <w:tcW w:w="666" w:type="dxa"/>
            <w:tcBorders>
              <w:bottom w:val="single" w:sz="4" w:space="0" w:color="000000"/>
            </w:tcBorders>
          </w:tcPr>
          <w:p w:rsidR="00222F36" w:rsidRDefault="000B682F">
            <w:pPr>
              <w:jc w:val="center"/>
            </w:pPr>
            <w:r>
              <w:t>38.22</w:t>
            </w:r>
          </w:p>
        </w:tc>
      </w:tr>
      <w:tr w:rsidR="00222F36">
        <w:trPr>
          <w:trHeight w:val="300"/>
          <w:jc w:val="center"/>
        </w:trPr>
        <w:tc>
          <w:tcPr>
            <w:tcW w:w="7066" w:type="dxa"/>
            <w:gridSpan w:val="11"/>
            <w:tcBorders>
              <w:top w:val="single" w:sz="4" w:space="0" w:color="000000"/>
            </w:tcBorders>
            <w:vAlign w:val="center"/>
          </w:tcPr>
          <w:p w:rsidR="00222F36" w:rsidRDefault="000B682F">
            <w:pPr>
              <w:jc w:val="left"/>
            </w:pPr>
            <w:r>
              <w:rPr>
                <w:color w:val="000000"/>
                <w:sz w:val="16"/>
                <w:szCs w:val="16"/>
              </w:rPr>
              <w:t>Notes: Numbers reported are in percentages. Lowercase variables are in logarithms.</w:t>
            </w:r>
          </w:p>
        </w:tc>
      </w:tr>
    </w:tbl>
    <w:p w:rsidR="00222F36" w:rsidRDefault="00222F36">
      <w:pPr>
        <w:jc w:val="center"/>
      </w:pPr>
    </w:p>
    <w:p w:rsidR="00222F36" w:rsidRDefault="00222F36"/>
    <w:p w:rsidR="00222F36" w:rsidRDefault="000B682F">
      <w:r>
        <w:t xml:space="preserve">The next robustness check is to check whether there is different information in the RSS (approach/avoidance) based sentiment series compared to the sentiment series constructed using the lexicon of Laughran and McDonald. We </w:t>
      </w:r>
      <w:r>
        <w:lastRenderedPageBreak/>
        <w:t xml:space="preserve">do this first by replacing the two RSS based sentiment series with the alternative LM based sentiment series on the VECM. </w:t>
      </w:r>
    </w:p>
    <w:p w:rsidR="00222F36" w:rsidRDefault="00222F36"/>
    <w:p w:rsidR="00222F36" w:rsidRDefault="00222F36"/>
    <w:p w:rsidR="00222F36" w:rsidRDefault="00222F36"/>
    <w:p w:rsidR="00222F36" w:rsidRDefault="00222F36"/>
    <w:p w:rsidR="00222F36" w:rsidRDefault="00222F36"/>
    <w:p w:rsidR="00222F36" w:rsidRDefault="000B682F">
      <w:pPr>
        <w:jc w:val="center"/>
      </w:pPr>
      <w:r>
        <w:rPr>
          <w:b/>
        </w:rPr>
        <w:t xml:space="preserve">Table A7: FEVD of a shock to Sentiment for Model with LM replacing RSS </w:t>
      </w:r>
    </w:p>
    <w:tbl>
      <w:tblPr>
        <w:tblStyle w:val="a9"/>
        <w:tblW w:w="7562" w:type="dxa"/>
        <w:jc w:val="center"/>
        <w:tblBorders>
          <w:top w:val="nil"/>
          <w:left w:val="nil"/>
          <w:bottom w:val="nil"/>
          <w:right w:val="nil"/>
          <w:insideH w:val="nil"/>
          <w:insideV w:val="nil"/>
        </w:tblBorders>
        <w:tblLayout w:type="fixed"/>
        <w:tblLook w:val="0400" w:firstRow="0" w:lastRow="0" w:firstColumn="0" w:lastColumn="0" w:noHBand="0" w:noVBand="1"/>
      </w:tblPr>
      <w:tblGrid>
        <w:gridCol w:w="739"/>
        <w:gridCol w:w="566"/>
        <w:gridCol w:w="694"/>
        <w:gridCol w:w="666"/>
        <w:gridCol w:w="566"/>
        <w:gridCol w:w="566"/>
        <w:gridCol w:w="626"/>
        <w:gridCol w:w="616"/>
        <w:gridCol w:w="605"/>
        <w:gridCol w:w="959"/>
        <w:gridCol w:w="959"/>
      </w:tblGrid>
      <w:tr w:rsidR="00222F36">
        <w:trPr>
          <w:trHeight w:val="300"/>
          <w:jc w:val="center"/>
        </w:trPr>
        <w:tc>
          <w:tcPr>
            <w:tcW w:w="739" w:type="dxa"/>
            <w:tcBorders>
              <w:bottom w:val="single" w:sz="4" w:space="0" w:color="000000"/>
            </w:tcBorders>
            <w:vAlign w:val="center"/>
          </w:tcPr>
          <w:p w:rsidR="00222F36" w:rsidRDefault="000B682F">
            <w:pPr>
              <w:spacing w:line="240" w:lineRule="auto"/>
              <w:jc w:val="center"/>
              <w:rPr>
                <w:color w:val="000000"/>
              </w:rPr>
            </w:pPr>
            <w:r>
              <w:rPr>
                <w:color w:val="000000"/>
              </w:rPr>
              <w:t>Period</w:t>
            </w:r>
          </w:p>
        </w:tc>
        <w:tc>
          <w:tcPr>
            <w:tcW w:w="566" w:type="dxa"/>
            <w:tcBorders>
              <w:bottom w:val="single" w:sz="4" w:space="0" w:color="000000"/>
            </w:tcBorders>
            <w:vAlign w:val="center"/>
          </w:tcPr>
          <w:p w:rsidR="00222F36" w:rsidRDefault="000B682F">
            <w:pPr>
              <w:spacing w:line="240" w:lineRule="auto"/>
              <w:jc w:val="center"/>
              <w:rPr>
                <w:i/>
                <w:color w:val="000000"/>
              </w:rPr>
            </w:pPr>
            <w:r>
              <w:rPr>
                <w:i/>
                <w:color w:val="000000"/>
              </w:rPr>
              <w:t>ip</w:t>
            </w:r>
          </w:p>
        </w:tc>
        <w:tc>
          <w:tcPr>
            <w:tcW w:w="694" w:type="dxa"/>
            <w:tcBorders>
              <w:bottom w:val="single" w:sz="4" w:space="0" w:color="000000"/>
            </w:tcBorders>
            <w:vAlign w:val="center"/>
          </w:tcPr>
          <w:p w:rsidR="00222F36" w:rsidRDefault="000B682F">
            <w:pPr>
              <w:spacing w:line="240" w:lineRule="auto"/>
              <w:jc w:val="center"/>
              <w:rPr>
                <w:i/>
                <w:color w:val="000000"/>
              </w:rPr>
            </w:pPr>
            <w:r>
              <w:rPr>
                <w:i/>
                <w:color w:val="000000"/>
              </w:rPr>
              <w:t>sp500</w:t>
            </w:r>
          </w:p>
        </w:tc>
        <w:tc>
          <w:tcPr>
            <w:tcW w:w="666" w:type="dxa"/>
            <w:tcBorders>
              <w:bottom w:val="single" w:sz="4" w:space="0" w:color="000000"/>
            </w:tcBorders>
            <w:vAlign w:val="center"/>
          </w:tcPr>
          <w:p w:rsidR="00222F36" w:rsidRDefault="000B682F">
            <w:pPr>
              <w:spacing w:line="240" w:lineRule="auto"/>
              <w:jc w:val="center"/>
              <w:rPr>
                <w:i/>
                <w:color w:val="000000"/>
              </w:rPr>
            </w:pPr>
            <w:r>
              <w:rPr>
                <w:i/>
                <w:color w:val="000000"/>
              </w:rPr>
              <w:t>loans</w:t>
            </w:r>
          </w:p>
        </w:tc>
        <w:tc>
          <w:tcPr>
            <w:tcW w:w="566" w:type="dxa"/>
            <w:tcBorders>
              <w:bottom w:val="single" w:sz="4" w:space="0" w:color="000000"/>
            </w:tcBorders>
            <w:vAlign w:val="center"/>
          </w:tcPr>
          <w:p w:rsidR="00222F36" w:rsidRDefault="000B682F">
            <w:pPr>
              <w:spacing w:line="240" w:lineRule="auto"/>
              <w:jc w:val="center"/>
              <w:rPr>
                <w:i/>
                <w:color w:val="000000"/>
              </w:rPr>
            </w:pPr>
            <w:r>
              <w:rPr>
                <w:i/>
                <w:color w:val="000000"/>
              </w:rPr>
              <w:t>p</w:t>
            </w:r>
          </w:p>
        </w:tc>
        <w:tc>
          <w:tcPr>
            <w:tcW w:w="566" w:type="dxa"/>
            <w:tcBorders>
              <w:bottom w:val="single" w:sz="4" w:space="0" w:color="000000"/>
            </w:tcBorders>
            <w:vAlign w:val="center"/>
          </w:tcPr>
          <w:p w:rsidR="00222F36" w:rsidRDefault="000B682F">
            <w:pPr>
              <w:spacing w:line="240" w:lineRule="auto"/>
              <w:jc w:val="center"/>
              <w:rPr>
                <w:color w:val="000000"/>
              </w:rPr>
            </w:pPr>
            <w:r>
              <w:rPr>
                <w:color w:val="000000"/>
                <w:sz w:val="24"/>
                <w:szCs w:val="24"/>
              </w:rPr>
              <w:object w:dxaOrig="350" w:dyaOrig="250">
                <v:shape id="_x0000_i1138" type="#_x0000_t75" style="width:17.55pt;height:12.5pt" o:ole="">
                  <v:imagedata r:id="rId27" o:title=""/>
                </v:shape>
                <o:OLEObject Type="Embed" ProgID="Equation.DSMT4" ShapeID="_x0000_i1138" DrawAspect="Content" ObjectID="_1707118237" r:id="rId242"/>
              </w:object>
            </w:r>
          </w:p>
        </w:tc>
        <w:tc>
          <w:tcPr>
            <w:tcW w:w="626" w:type="dxa"/>
            <w:tcBorders>
              <w:bottom w:val="single" w:sz="4" w:space="0" w:color="000000"/>
            </w:tcBorders>
            <w:vAlign w:val="center"/>
          </w:tcPr>
          <w:p w:rsidR="00222F36" w:rsidRDefault="000B682F">
            <w:pPr>
              <w:spacing w:line="240" w:lineRule="auto"/>
              <w:jc w:val="center"/>
              <w:rPr>
                <w:color w:val="000000"/>
              </w:rPr>
            </w:pPr>
            <w:r>
              <w:rPr>
                <w:color w:val="000000"/>
                <w:sz w:val="24"/>
                <w:szCs w:val="24"/>
              </w:rPr>
              <w:object w:dxaOrig="410" w:dyaOrig="250">
                <v:shape id="_x0000_i1139" type="#_x0000_t75" style="width:20.65pt;height:12.5pt" o:ole="">
                  <v:imagedata r:id="rId29" o:title=""/>
                </v:shape>
                <o:OLEObject Type="Embed" ProgID="Equation.DSMT4" ShapeID="_x0000_i1139" DrawAspect="Content" ObjectID="_1707118238" r:id="rId243"/>
              </w:object>
            </w:r>
          </w:p>
        </w:tc>
        <w:tc>
          <w:tcPr>
            <w:tcW w:w="616" w:type="dxa"/>
            <w:tcBorders>
              <w:bottom w:val="single" w:sz="4" w:space="0" w:color="000000"/>
            </w:tcBorders>
            <w:vAlign w:val="center"/>
          </w:tcPr>
          <w:p w:rsidR="00222F36" w:rsidRDefault="000B682F">
            <w:pPr>
              <w:spacing w:line="240" w:lineRule="auto"/>
              <w:jc w:val="center"/>
              <w:rPr>
                <w:color w:val="000000"/>
              </w:rPr>
            </w:pPr>
            <w:r>
              <w:rPr>
                <w:color w:val="000000"/>
                <w:sz w:val="24"/>
                <w:szCs w:val="24"/>
              </w:rPr>
              <w:object w:dxaOrig="400" w:dyaOrig="250">
                <v:shape id="_x0000_i1140" type="#_x0000_t75" style="width:20.05pt;height:12.5pt" o:ole="">
                  <v:imagedata r:id="rId31" o:title=""/>
                </v:shape>
                <o:OLEObject Type="Embed" ProgID="Equation.DSMT4" ShapeID="_x0000_i1140" DrawAspect="Content" ObjectID="_1707118239" r:id="rId244"/>
              </w:object>
            </w:r>
          </w:p>
        </w:tc>
        <w:tc>
          <w:tcPr>
            <w:tcW w:w="605" w:type="dxa"/>
            <w:tcBorders>
              <w:bottom w:val="single" w:sz="4" w:space="0" w:color="000000"/>
            </w:tcBorders>
            <w:vAlign w:val="center"/>
          </w:tcPr>
          <w:p w:rsidR="00222F36" w:rsidRDefault="000B682F">
            <w:pPr>
              <w:spacing w:line="240" w:lineRule="auto"/>
              <w:jc w:val="center"/>
              <w:rPr>
                <w:i/>
                <w:color w:val="000000"/>
              </w:rPr>
            </w:pPr>
            <w:r>
              <w:rPr>
                <w:i/>
                <w:color w:val="000000"/>
              </w:rPr>
              <w:t>EPU</w:t>
            </w:r>
          </w:p>
        </w:tc>
        <w:tc>
          <w:tcPr>
            <w:tcW w:w="959" w:type="dxa"/>
            <w:tcBorders>
              <w:bottom w:val="single" w:sz="4" w:space="0" w:color="000000"/>
            </w:tcBorders>
            <w:vAlign w:val="center"/>
          </w:tcPr>
          <w:p w:rsidR="00222F36" w:rsidRDefault="000B682F">
            <w:pPr>
              <w:spacing w:line="240" w:lineRule="auto"/>
              <w:jc w:val="center"/>
              <w:rPr>
                <w:i/>
                <w:color w:val="000000"/>
              </w:rPr>
            </w:pPr>
            <w:r>
              <w:rPr>
                <w:i/>
                <w:color w:val="000000"/>
              </w:rPr>
              <w:t>S</w:t>
            </w:r>
            <w:r>
              <w:rPr>
                <w:i/>
                <w:color w:val="000000"/>
                <w:vertAlign w:val="superscript"/>
              </w:rPr>
              <w:t>NYT</w:t>
            </w:r>
            <w:r>
              <w:rPr>
                <w:i/>
                <w:color w:val="000000"/>
              </w:rPr>
              <w:t>(LM)</w:t>
            </w:r>
          </w:p>
        </w:tc>
        <w:tc>
          <w:tcPr>
            <w:tcW w:w="959" w:type="dxa"/>
            <w:tcBorders>
              <w:bottom w:val="single" w:sz="4" w:space="0" w:color="000000"/>
            </w:tcBorders>
            <w:vAlign w:val="center"/>
          </w:tcPr>
          <w:p w:rsidR="00222F36" w:rsidRDefault="000B682F">
            <w:pPr>
              <w:spacing w:line="240" w:lineRule="auto"/>
              <w:jc w:val="center"/>
              <w:rPr>
                <w:i/>
                <w:color w:val="000000"/>
              </w:rPr>
            </w:pPr>
            <w:r>
              <w:rPr>
                <w:i/>
                <w:color w:val="000000"/>
              </w:rPr>
              <w:t>S</w:t>
            </w:r>
            <w:r>
              <w:rPr>
                <w:i/>
                <w:color w:val="000000"/>
                <w:vertAlign w:val="superscript"/>
              </w:rPr>
              <w:t>WSJ</w:t>
            </w:r>
            <w:r>
              <w:rPr>
                <w:i/>
                <w:color w:val="000000"/>
              </w:rPr>
              <w:t>(LM)</w:t>
            </w:r>
          </w:p>
        </w:tc>
      </w:tr>
      <w:tr w:rsidR="00222F36">
        <w:trPr>
          <w:trHeight w:val="300"/>
          <w:jc w:val="center"/>
        </w:trPr>
        <w:tc>
          <w:tcPr>
            <w:tcW w:w="739" w:type="dxa"/>
            <w:tcBorders>
              <w:top w:val="single" w:sz="4" w:space="0" w:color="000000"/>
            </w:tcBorders>
          </w:tcPr>
          <w:p w:rsidR="00222F36" w:rsidRDefault="000B682F">
            <w:pPr>
              <w:jc w:val="center"/>
            </w:pPr>
            <w:r>
              <w:t>1</w:t>
            </w:r>
          </w:p>
        </w:tc>
        <w:tc>
          <w:tcPr>
            <w:tcW w:w="566" w:type="dxa"/>
            <w:tcBorders>
              <w:top w:val="single" w:sz="4" w:space="0" w:color="000000"/>
            </w:tcBorders>
          </w:tcPr>
          <w:p w:rsidR="00222F36" w:rsidRDefault="000B682F">
            <w:pPr>
              <w:jc w:val="center"/>
            </w:pPr>
            <w:r>
              <w:t>0.00</w:t>
            </w:r>
          </w:p>
        </w:tc>
        <w:tc>
          <w:tcPr>
            <w:tcW w:w="694" w:type="dxa"/>
            <w:tcBorders>
              <w:top w:val="single" w:sz="4" w:space="0" w:color="000000"/>
            </w:tcBorders>
          </w:tcPr>
          <w:p w:rsidR="00222F36" w:rsidRDefault="000B682F">
            <w:pPr>
              <w:jc w:val="center"/>
            </w:pPr>
            <w:r>
              <w:t>0.00</w:t>
            </w:r>
          </w:p>
        </w:tc>
        <w:tc>
          <w:tcPr>
            <w:tcW w:w="666" w:type="dxa"/>
            <w:tcBorders>
              <w:top w:val="single" w:sz="4" w:space="0" w:color="000000"/>
            </w:tcBorders>
          </w:tcPr>
          <w:p w:rsidR="00222F36" w:rsidRDefault="000B682F">
            <w:pPr>
              <w:jc w:val="center"/>
            </w:pPr>
            <w:r>
              <w:t>0.00</w:t>
            </w:r>
          </w:p>
        </w:tc>
        <w:tc>
          <w:tcPr>
            <w:tcW w:w="566" w:type="dxa"/>
            <w:tcBorders>
              <w:top w:val="single" w:sz="4" w:space="0" w:color="000000"/>
            </w:tcBorders>
          </w:tcPr>
          <w:p w:rsidR="00222F36" w:rsidRDefault="000B682F">
            <w:pPr>
              <w:jc w:val="center"/>
            </w:pPr>
            <w:r>
              <w:t>0.00</w:t>
            </w:r>
          </w:p>
        </w:tc>
        <w:tc>
          <w:tcPr>
            <w:tcW w:w="566" w:type="dxa"/>
            <w:tcBorders>
              <w:top w:val="single" w:sz="4" w:space="0" w:color="000000"/>
            </w:tcBorders>
          </w:tcPr>
          <w:p w:rsidR="00222F36" w:rsidRDefault="000B682F">
            <w:pPr>
              <w:jc w:val="center"/>
            </w:pPr>
            <w:r>
              <w:t>0.00</w:t>
            </w:r>
          </w:p>
        </w:tc>
        <w:tc>
          <w:tcPr>
            <w:tcW w:w="626" w:type="dxa"/>
            <w:tcBorders>
              <w:top w:val="single" w:sz="4" w:space="0" w:color="000000"/>
            </w:tcBorders>
          </w:tcPr>
          <w:p w:rsidR="00222F36" w:rsidRDefault="000B682F">
            <w:pPr>
              <w:jc w:val="center"/>
            </w:pPr>
            <w:r>
              <w:t>0.00</w:t>
            </w:r>
          </w:p>
        </w:tc>
        <w:tc>
          <w:tcPr>
            <w:tcW w:w="616" w:type="dxa"/>
            <w:tcBorders>
              <w:top w:val="single" w:sz="4" w:space="0" w:color="000000"/>
            </w:tcBorders>
          </w:tcPr>
          <w:p w:rsidR="00222F36" w:rsidRDefault="000B682F">
            <w:pPr>
              <w:jc w:val="center"/>
            </w:pPr>
            <w:r>
              <w:t>0.00</w:t>
            </w:r>
          </w:p>
        </w:tc>
        <w:tc>
          <w:tcPr>
            <w:tcW w:w="605" w:type="dxa"/>
            <w:tcBorders>
              <w:top w:val="single" w:sz="4" w:space="0" w:color="000000"/>
            </w:tcBorders>
          </w:tcPr>
          <w:p w:rsidR="00222F36" w:rsidRDefault="000B682F">
            <w:pPr>
              <w:jc w:val="center"/>
            </w:pPr>
            <w:r>
              <w:t>0.00</w:t>
            </w:r>
          </w:p>
        </w:tc>
        <w:tc>
          <w:tcPr>
            <w:tcW w:w="959" w:type="dxa"/>
            <w:tcBorders>
              <w:top w:val="single" w:sz="4" w:space="0" w:color="000000"/>
            </w:tcBorders>
          </w:tcPr>
          <w:p w:rsidR="00222F36" w:rsidRDefault="000B682F">
            <w:pPr>
              <w:jc w:val="center"/>
            </w:pPr>
            <w:r>
              <w:t>0.00</w:t>
            </w:r>
          </w:p>
        </w:tc>
        <w:tc>
          <w:tcPr>
            <w:tcW w:w="959" w:type="dxa"/>
            <w:tcBorders>
              <w:top w:val="single" w:sz="4" w:space="0" w:color="000000"/>
            </w:tcBorders>
          </w:tcPr>
          <w:p w:rsidR="00222F36" w:rsidRDefault="000B682F">
            <w:pPr>
              <w:jc w:val="center"/>
            </w:pPr>
            <w:r>
              <w:t>68.51</w:t>
            </w:r>
          </w:p>
        </w:tc>
      </w:tr>
      <w:tr w:rsidR="00222F36">
        <w:trPr>
          <w:trHeight w:val="300"/>
          <w:jc w:val="center"/>
        </w:trPr>
        <w:tc>
          <w:tcPr>
            <w:tcW w:w="739" w:type="dxa"/>
          </w:tcPr>
          <w:p w:rsidR="00222F36" w:rsidRDefault="000B682F">
            <w:pPr>
              <w:jc w:val="center"/>
            </w:pPr>
            <w:r>
              <w:t>2</w:t>
            </w:r>
          </w:p>
        </w:tc>
        <w:tc>
          <w:tcPr>
            <w:tcW w:w="566" w:type="dxa"/>
          </w:tcPr>
          <w:p w:rsidR="00222F36" w:rsidRDefault="000B682F">
            <w:pPr>
              <w:jc w:val="center"/>
            </w:pPr>
            <w:r>
              <w:t>0.28</w:t>
            </w:r>
          </w:p>
        </w:tc>
        <w:tc>
          <w:tcPr>
            <w:tcW w:w="694" w:type="dxa"/>
          </w:tcPr>
          <w:p w:rsidR="00222F36" w:rsidRDefault="000B682F">
            <w:pPr>
              <w:jc w:val="center"/>
            </w:pPr>
            <w:r>
              <w:t>0.02</w:t>
            </w:r>
          </w:p>
        </w:tc>
        <w:tc>
          <w:tcPr>
            <w:tcW w:w="666" w:type="dxa"/>
          </w:tcPr>
          <w:p w:rsidR="00222F36" w:rsidRDefault="000B682F">
            <w:pPr>
              <w:jc w:val="center"/>
            </w:pPr>
            <w:r>
              <w:t>1.78</w:t>
            </w:r>
          </w:p>
        </w:tc>
        <w:tc>
          <w:tcPr>
            <w:tcW w:w="566" w:type="dxa"/>
          </w:tcPr>
          <w:p w:rsidR="00222F36" w:rsidRDefault="000B682F">
            <w:pPr>
              <w:jc w:val="center"/>
            </w:pPr>
            <w:r>
              <w:t>0.08</w:t>
            </w:r>
          </w:p>
        </w:tc>
        <w:tc>
          <w:tcPr>
            <w:tcW w:w="566" w:type="dxa"/>
          </w:tcPr>
          <w:p w:rsidR="00222F36" w:rsidRDefault="000B682F">
            <w:pPr>
              <w:jc w:val="center"/>
            </w:pPr>
            <w:r>
              <w:t>0.27</w:t>
            </w:r>
          </w:p>
        </w:tc>
        <w:tc>
          <w:tcPr>
            <w:tcW w:w="626" w:type="dxa"/>
          </w:tcPr>
          <w:p w:rsidR="00222F36" w:rsidRDefault="000B682F">
            <w:pPr>
              <w:jc w:val="center"/>
            </w:pPr>
            <w:r>
              <w:t>0.24</w:t>
            </w:r>
          </w:p>
        </w:tc>
        <w:tc>
          <w:tcPr>
            <w:tcW w:w="616" w:type="dxa"/>
          </w:tcPr>
          <w:p w:rsidR="00222F36" w:rsidRDefault="000B682F">
            <w:pPr>
              <w:jc w:val="center"/>
            </w:pPr>
            <w:r>
              <w:t>0.12</w:t>
            </w:r>
          </w:p>
        </w:tc>
        <w:tc>
          <w:tcPr>
            <w:tcW w:w="605" w:type="dxa"/>
          </w:tcPr>
          <w:p w:rsidR="00222F36" w:rsidRDefault="000B682F">
            <w:pPr>
              <w:jc w:val="center"/>
            </w:pPr>
            <w:r>
              <w:t>1.45</w:t>
            </w:r>
          </w:p>
        </w:tc>
        <w:tc>
          <w:tcPr>
            <w:tcW w:w="959" w:type="dxa"/>
          </w:tcPr>
          <w:p w:rsidR="00222F36" w:rsidRDefault="000B682F">
            <w:pPr>
              <w:jc w:val="center"/>
            </w:pPr>
            <w:r>
              <w:t>1.25</w:t>
            </w:r>
          </w:p>
        </w:tc>
        <w:tc>
          <w:tcPr>
            <w:tcW w:w="959" w:type="dxa"/>
          </w:tcPr>
          <w:p w:rsidR="00222F36" w:rsidRDefault="000B682F">
            <w:pPr>
              <w:jc w:val="center"/>
            </w:pPr>
            <w:r>
              <w:t>62.61</w:t>
            </w:r>
          </w:p>
        </w:tc>
      </w:tr>
      <w:tr w:rsidR="00222F36">
        <w:trPr>
          <w:trHeight w:val="300"/>
          <w:jc w:val="center"/>
        </w:trPr>
        <w:tc>
          <w:tcPr>
            <w:tcW w:w="739" w:type="dxa"/>
          </w:tcPr>
          <w:p w:rsidR="00222F36" w:rsidRDefault="000B682F">
            <w:pPr>
              <w:jc w:val="center"/>
            </w:pPr>
            <w:r>
              <w:t>3</w:t>
            </w:r>
          </w:p>
        </w:tc>
        <w:tc>
          <w:tcPr>
            <w:tcW w:w="566" w:type="dxa"/>
          </w:tcPr>
          <w:p w:rsidR="00222F36" w:rsidRDefault="000B682F">
            <w:pPr>
              <w:jc w:val="center"/>
            </w:pPr>
            <w:r>
              <w:t>0.45</w:t>
            </w:r>
          </w:p>
        </w:tc>
        <w:tc>
          <w:tcPr>
            <w:tcW w:w="694" w:type="dxa"/>
          </w:tcPr>
          <w:p w:rsidR="00222F36" w:rsidRDefault="000B682F">
            <w:pPr>
              <w:jc w:val="center"/>
            </w:pPr>
            <w:r>
              <w:t>0.01</w:t>
            </w:r>
          </w:p>
        </w:tc>
        <w:tc>
          <w:tcPr>
            <w:tcW w:w="666" w:type="dxa"/>
          </w:tcPr>
          <w:p w:rsidR="00222F36" w:rsidRDefault="000B682F">
            <w:pPr>
              <w:jc w:val="center"/>
            </w:pPr>
            <w:r>
              <w:t>7.02</w:t>
            </w:r>
          </w:p>
        </w:tc>
        <w:tc>
          <w:tcPr>
            <w:tcW w:w="566" w:type="dxa"/>
          </w:tcPr>
          <w:p w:rsidR="00222F36" w:rsidRDefault="000B682F">
            <w:pPr>
              <w:jc w:val="center"/>
            </w:pPr>
            <w:r>
              <w:t>0.34</w:t>
            </w:r>
          </w:p>
        </w:tc>
        <w:tc>
          <w:tcPr>
            <w:tcW w:w="566" w:type="dxa"/>
          </w:tcPr>
          <w:p w:rsidR="00222F36" w:rsidRDefault="000B682F">
            <w:pPr>
              <w:jc w:val="center"/>
            </w:pPr>
            <w:r>
              <w:t>0.45</w:t>
            </w:r>
          </w:p>
        </w:tc>
        <w:tc>
          <w:tcPr>
            <w:tcW w:w="626" w:type="dxa"/>
          </w:tcPr>
          <w:p w:rsidR="00222F36" w:rsidRDefault="000B682F">
            <w:pPr>
              <w:jc w:val="center"/>
            </w:pPr>
            <w:r>
              <w:t>0.38</w:t>
            </w:r>
          </w:p>
        </w:tc>
        <w:tc>
          <w:tcPr>
            <w:tcW w:w="616" w:type="dxa"/>
          </w:tcPr>
          <w:p w:rsidR="00222F36" w:rsidRDefault="000B682F">
            <w:pPr>
              <w:jc w:val="center"/>
            </w:pPr>
            <w:r>
              <w:t>0.95</w:t>
            </w:r>
          </w:p>
        </w:tc>
        <w:tc>
          <w:tcPr>
            <w:tcW w:w="605" w:type="dxa"/>
          </w:tcPr>
          <w:p w:rsidR="00222F36" w:rsidRDefault="000B682F">
            <w:pPr>
              <w:jc w:val="center"/>
            </w:pPr>
            <w:r>
              <w:t>3.65</w:t>
            </w:r>
          </w:p>
        </w:tc>
        <w:tc>
          <w:tcPr>
            <w:tcW w:w="959" w:type="dxa"/>
          </w:tcPr>
          <w:p w:rsidR="00222F36" w:rsidRDefault="000B682F">
            <w:pPr>
              <w:jc w:val="center"/>
            </w:pPr>
            <w:r>
              <w:t>2.74</w:t>
            </w:r>
          </w:p>
        </w:tc>
        <w:tc>
          <w:tcPr>
            <w:tcW w:w="959" w:type="dxa"/>
          </w:tcPr>
          <w:p w:rsidR="00222F36" w:rsidRDefault="000B682F">
            <w:pPr>
              <w:jc w:val="center"/>
            </w:pPr>
            <w:r>
              <w:t>59.92</w:t>
            </w:r>
          </w:p>
        </w:tc>
      </w:tr>
      <w:tr w:rsidR="00222F36">
        <w:trPr>
          <w:trHeight w:val="300"/>
          <w:jc w:val="center"/>
        </w:trPr>
        <w:tc>
          <w:tcPr>
            <w:tcW w:w="739" w:type="dxa"/>
          </w:tcPr>
          <w:p w:rsidR="00222F36" w:rsidRDefault="000B682F">
            <w:pPr>
              <w:jc w:val="center"/>
            </w:pPr>
            <w:r>
              <w:t>4</w:t>
            </w:r>
          </w:p>
        </w:tc>
        <w:tc>
          <w:tcPr>
            <w:tcW w:w="566" w:type="dxa"/>
          </w:tcPr>
          <w:p w:rsidR="00222F36" w:rsidRDefault="000B682F">
            <w:pPr>
              <w:jc w:val="center"/>
            </w:pPr>
            <w:r>
              <w:t>0.46</w:t>
            </w:r>
          </w:p>
        </w:tc>
        <w:tc>
          <w:tcPr>
            <w:tcW w:w="694" w:type="dxa"/>
          </w:tcPr>
          <w:p w:rsidR="00222F36" w:rsidRDefault="000B682F">
            <w:pPr>
              <w:jc w:val="center"/>
            </w:pPr>
            <w:r>
              <w:t>0.04</w:t>
            </w:r>
          </w:p>
        </w:tc>
        <w:tc>
          <w:tcPr>
            <w:tcW w:w="666" w:type="dxa"/>
          </w:tcPr>
          <w:p w:rsidR="00222F36" w:rsidRDefault="000B682F">
            <w:pPr>
              <w:jc w:val="center"/>
            </w:pPr>
            <w:r>
              <w:t>12.80</w:t>
            </w:r>
          </w:p>
        </w:tc>
        <w:tc>
          <w:tcPr>
            <w:tcW w:w="566" w:type="dxa"/>
          </w:tcPr>
          <w:p w:rsidR="00222F36" w:rsidRDefault="000B682F">
            <w:pPr>
              <w:jc w:val="center"/>
            </w:pPr>
            <w:r>
              <w:t>0.68</w:t>
            </w:r>
          </w:p>
        </w:tc>
        <w:tc>
          <w:tcPr>
            <w:tcW w:w="566" w:type="dxa"/>
          </w:tcPr>
          <w:p w:rsidR="00222F36" w:rsidRDefault="000B682F">
            <w:pPr>
              <w:jc w:val="center"/>
            </w:pPr>
            <w:r>
              <w:t>0.56</w:t>
            </w:r>
          </w:p>
        </w:tc>
        <w:tc>
          <w:tcPr>
            <w:tcW w:w="626" w:type="dxa"/>
          </w:tcPr>
          <w:p w:rsidR="00222F36" w:rsidRDefault="000B682F">
            <w:pPr>
              <w:jc w:val="center"/>
            </w:pPr>
            <w:r>
              <w:t>0.47</w:t>
            </w:r>
          </w:p>
        </w:tc>
        <w:tc>
          <w:tcPr>
            <w:tcW w:w="616" w:type="dxa"/>
          </w:tcPr>
          <w:p w:rsidR="00222F36" w:rsidRDefault="000B682F">
            <w:pPr>
              <w:jc w:val="center"/>
            </w:pPr>
            <w:r>
              <w:t>2.14</w:t>
            </w:r>
          </w:p>
        </w:tc>
        <w:tc>
          <w:tcPr>
            <w:tcW w:w="605" w:type="dxa"/>
          </w:tcPr>
          <w:p w:rsidR="00222F36" w:rsidRDefault="000B682F">
            <w:pPr>
              <w:jc w:val="center"/>
            </w:pPr>
            <w:r>
              <w:t>5.93</w:t>
            </w:r>
          </w:p>
        </w:tc>
        <w:tc>
          <w:tcPr>
            <w:tcW w:w="959" w:type="dxa"/>
          </w:tcPr>
          <w:p w:rsidR="00222F36" w:rsidRDefault="000B682F">
            <w:pPr>
              <w:jc w:val="center"/>
            </w:pPr>
            <w:r>
              <w:t>4.10</w:t>
            </w:r>
          </w:p>
        </w:tc>
        <w:tc>
          <w:tcPr>
            <w:tcW w:w="959" w:type="dxa"/>
          </w:tcPr>
          <w:p w:rsidR="00222F36" w:rsidRDefault="000B682F">
            <w:pPr>
              <w:jc w:val="center"/>
            </w:pPr>
            <w:r>
              <w:t>58.04</w:t>
            </w:r>
          </w:p>
        </w:tc>
      </w:tr>
      <w:tr w:rsidR="00222F36">
        <w:trPr>
          <w:trHeight w:val="300"/>
          <w:jc w:val="center"/>
        </w:trPr>
        <w:tc>
          <w:tcPr>
            <w:tcW w:w="739" w:type="dxa"/>
          </w:tcPr>
          <w:p w:rsidR="00222F36" w:rsidRDefault="000B682F">
            <w:pPr>
              <w:jc w:val="center"/>
            </w:pPr>
            <w:r>
              <w:t>5</w:t>
            </w:r>
          </w:p>
        </w:tc>
        <w:tc>
          <w:tcPr>
            <w:tcW w:w="566" w:type="dxa"/>
          </w:tcPr>
          <w:p w:rsidR="00222F36" w:rsidRDefault="000B682F">
            <w:pPr>
              <w:jc w:val="center"/>
            </w:pPr>
            <w:r>
              <w:t>0.40</w:t>
            </w:r>
          </w:p>
        </w:tc>
        <w:tc>
          <w:tcPr>
            <w:tcW w:w="694" w:type="dxa"/>
          </w:tcPr>
          <w:p w:rsidR="00222F36" w:rsidRDefault="000B682F">
            <w:pPr>
              <w:jc w:val="center"/>
            </w:pPr>
            <w:r>
              <w:t>0.07</w:t>
            </w:r>
          </w:p>
        </w:tc>
        <w:tc>
          <w:tcPr>
            <w:tcW w:w="666" w:type="dxa"/>
          </w:tcPr>
          <w:p w:rsidR="00222F36" w:rsidRDefault="000B682F">
            <w:pPr>
              <w:jc w:val="center"/>
            </w:pPr>
            <w:r>
              <w:t>17.19</w:t>
            </w:r>
          </w:p>
        </w:tc>
        <w:tc>
          <w:tcPr>
            <w:tcW w:w="566" w:type="dxa"/>
          </w:tcPr>
          <w:p w:rsidR="00222F36" w:rsidRDefault="000B682F">
            <w:pPr>
              <w:jc w:val="center"/>
            </w:pPr>
            <w:r>
              <w:t>1.02</w:t>
            </w:r>
          </w:p>
        </w:tc>
        <w:tc>
          <w:tcPr>
            <w:tcW w:w="566" w:type="dxa"/>
          </w:tcPr>
          <w:p w:rsidR="00222F36" w:rsidRDefault="000B682F">
            <w:pPr>
              <w:jc w:val="center"/>
            </w:pPr>
            <w:r>
              <w:t>0.61</w:t>
            </w:r>
          </w:p>
        </w:tc>
        <w:tc>
          <w:tcPr>
            <w:tcW w:w="626" w:type="dxa"/>
          </w:tcPr>
          <w:p w:rsidR="00222F36" w:rsidRDefault="000B682F">
            <w:pPr>
              <w:jc w:val="center"/>
            </w:pPr>
            <w:r>
              <w:t>0.51</w:t>
            </w:r>
          </w:p>
        </w:tc>
        <w:tc>
          <w:tcPr>
            <w:tcW w:w="616" w:type="dxa"/>
          </w:tcPr>
          <w:p w:rsidR="00222F36" w:rsidRDefault="000B682F">
            <w:pPr>
              <w:jc w:val="center"/>
            </w:pPr>
            <w:r>
              <w:t>3.24</w:t>
            </w:r>
          </w:p>
        </w:tc>
        <w:tc>
          <w:tcPr>
            <w:tcW w:w="605" w:type="dxa"/>
          </w:tcPr>
          <w:p w:rsidR="00222F36" w:rsidRDefault="000B682F">
            <w:pPr>
              <w:jc w:val="center"/>
            </w:pPr>
            <w:r>
              <w:t>7.62</w:t>
            </w:r>
          </w:p>
        </w:tc>
        <w:tc>
          <w:tcPr>
            <w:tcW w:w="959" w:type="dxa"/>
          </w:tcPr>
          <w:p w:rsidR="00222F36" w:rsidRDefault="000B682F">
            <w:pPr>
              <w:jc w:val="center"/>
            </w:pPr>
            <w:r>
              <w:t>5.08</w:t>
            </w:r>
          </w:p>
        </w:tc>
        <w:tc>
          <w:tcPr>
            <w:tcW w:w="959" w:type="dxa"/>
          </w:tcPr>
          <w:p w:rsidR="00222F36" w:rsidRDefault="000B682F">
            <w:pPr>
              <w:jc w:val="center"/>
            </w:pPr>
            <w:r>
              <w:t>57.32</w:t>
            </w:r>
          </w:p>
        </w:tc>
      </w:tr>
      <w:tr w:rsidR="00222F36">
        <w:trPr>
          <w:trHeight w:val="300"/>
          <w:jc w:val="center"/>
        </w:trPr>
        <w:tc>
          <w:tcPr>
            <w:tcW w:w="739" w:type="dxa"/>
          </w:tcPr>
          <w:p w:rsidR="00222F36" w:rsidRDefault="000B682F">
            <w:pPr>
              <w:jc w:val="center"/>
            </w:pPr>
            <w:r>
              <w:t>10</w:t>
            </w:r>
          </w:p>
        </w:tc>
        <w:tc>
          <w:tcPr>
            <w:tcW w:w="566" w:type="dxa"/>
          </w:tcPr>
          <w:p w:rsidR="00222F36" w:rsidRDefault="000B682F">
            <w:pPr>
              <w:jc w:val="center"/>
            </w:pPr>
            <w:r>
              <w:t>0.19</w:t>
            </w:r>
          </w:p>
        </w:tc>
        <w:tc>
          <w:tcPr>
            <w:tcW w:w="694" w:type="dxa"/>
          </w:tcPr>
          <w:p w:rsidR="00222F36" w:rsidRDefault="000B682F">
            <w:pPr>
              <w:jc w:val="center"/>
            </w:pPr>
            <w:r>
              <w:t>0.05</w:t>
            </w:r>
          </w:p>
        </w:tc>
        <w:tc>
          <w:tcPr>
            <w:tcW w:w="666" w:type="dxa"/>
          </w:tcPr>
          <w:p w:rsidR="00222F36" w:rsidRDefault="000B682F">
            <w:pPr>
              <w:jc w:val="center"/>
            </w:pPr>
            <w:r>
              <w:t>23.92</w:t>
            </w:r>
          </w:p>
        </w:tc>
        <w:tc>
          <w:tcPr>
            <w:tcW w:w="566" w:type="dxa"/>
          </w:tcPr>
          <w:p w:rsidR="00222F36" w:rsidRDefault="000B682F">
            <w:pPr>
              <w:jc w:val="center"/>
            </w:pPr>
            <w:r>
              <w:t>2.26</w:t>
            </w:r>
          </w:p>
        </w:tc>
        <w:tc>
          <w:tcPr>
            <w:tcW w:w="566" w:type="dxa"/>
          </w:tcPr>
          <w:p w:rsidR="00222F36" w:rsidRDefault="000B682F">
            <w:pPr>
              <w:jc w:val="center"/>
            </w:pPr>
            <w:r>
              <w:t>0.47</w:t>
            </w:r>
          </w:p>
        </w:tc>
        <w:tc>
          <w:tcPr>
            <w:tcW w:w="626" w:type="dxa"/>
          </w:tcPr>
          <w:p w:rsidR="00222F36" w:rsidRDefault="000B682F">
            <w:pPr>
              <w:jc w:val="center"/>
            </w:pPr>
            <w:r>
              <w:t>0.38</w:t>
            </w:r>
          </w:p>
        </w:tc>
        <w:tc>
          <w:tcPr>
            <w:tcW w:w="616" w:type="dxa"/>
          </w:tcPr>
          <w:p w:rsidR="00222F36" w:rsidRDefault="000B682F">
            <w:pPr>
              <w:jc w:val="center"/>
            </w:pPr>
            <w:r>
              <w:t>5.35</w:t>
            </w:r>
          </w:p>
        </w:tc>
        <w:tc>
          <w:tcPr>
            <w:tcW w:w="605" w:type="dxa"/>
          </w:tcPr>
          <w:p w:rsidR="00222F36" w:rsidRDefault="000B682F">
            <w:pPr>
              <w:jc w:val="center"/>
            </w:pPr>
            <w:r>
              <w:t>9.16</w:t>
            </w:r>
          </w:p>
        </w:tc>
        <w:tc>
          <w:tcPr>
            <w:tcW w:w="959" w:type="dxa"/>
          </w:tcPr>
          <w:p w:rsidR="00222F36" w:rsidRDefault="000B682F">
            <w:pPr>
              <w:jc w:val="center"/>
            </w:pPr>
            <w:r>
              <w:t>7.60</w:t>
            </w:r>
          </w:p>
        </w:tc>
        <w:tc>
          <w:tcPr>
            <w:tcW w:w="959" w:type="dxa"/>
          </w:tcPr>
          <w:p w:rsidR="00222F36" w:rsidRDefault="000B682F">
            <w:pPr>
              <w:jc w:val="center"/>
            </w:pPr>
            <w:r>
              <w:t>58.14</w:t>
            </w:r>
          </w:p>
        </w:tc>
      </w:tr>
      <w:tr w:rsidR="00222F36">
        <w:trPr>
          <w:trHeight w:val="300"/>
          <w:jc w:val="center"/>
        </w:trPr>
        <w:tc>
          <w:tcPr>
            <w:tcW w:w="739" w:type="dxa"/>
          </w:tcPr>
          <w:p w:rsidR="00222F36" w:rsidRDefault="000B682F">
            <w:pPr>
              <w:jc w:val="center"/>
            </w:pPr>
            <w:r>
              <w:t>15</w:t>
            </w:r>
          </w:p>
        </w:tc>
        <w:tc>
          <w:tcPr>
            <w:tcW w:w="566" w:type="dxa"/>
          </w:tcPr>
          <w:p w:rsidR="00222F36" w:rsidRDefault="000B682F">
            <w:pPr>
              <w:jc w:val="center"/>
            </w:pPr>
            <w:r>
              <w:t>0.13</w:t>
            </w:r>
          </w:p>
        </w:tc>
        <w:tc>
          <w:tcPr>
            <w:tcW w:w="694" w:type="dxa"/>
          </w:tcPr>
          <w:p w:rsidR="00222F36" w:rsidRDefault="000B682F">
            <w:pPr>
              <w:jc w:val="center"/>
            </w:pPr>
            <w:r>
              <w:t>0.04</w:t>
            </w:r>
          </w:p>
        </w:tc>
        <w:tc>
          <w:tcPr>
            <w:tcW w:w="666" w:type="dxa"/>
          </w:tcPr>
          <w:p w:rsidR="00222F36" w:rsidRDefault="000B682F">
            <w:pPr>
              <w:jc w:val="center"/>
            </w:pPr>
            <w:r>
              <w:t>24.72</w:t>
            </w:r>
          </w:p>
        </w:tc>
        <w:tc>
          <w:tcPr>
            <w:tcW w:w="566" w:type="dxa"/>
          </w:tcPr>
          <w:p w:rsidR="00222F36" w:rsidRDefault="000B682F">
            <w:pPr>
              <w:jc w:val="center"/>
            </w:pPr>
            <w:r>
              <w:t>3.05</w:t>
            </w:r>
          </w:p>
        </w:tc>
        <w:tc>
          <w:tcPr>
            <w:tcW w:w="566" w:type="dxa"/>
          </w:tcPr>
          <w:p w:rsidR="00222F36" w:rsidRDefault="000B682F">
            <w:pPr>
              <w:jc w:val="center"/>
            </w:pPr>
            <w:r>
              <w:t>0.31</w:t>
            </w:r>
          </w:p>
        </w:tc>
        <w:tc>
          <w:tcPr>
            <w:tcW w:w="626" w:type="dxa"/>
          </w:tcPr>
          <w:p w:rsidR="00222F36" w:rsidRDefault="000B682F">
            <w:pPr>
              <w:jc w:val="center"/>
            </w:pPr>
            <w:r>
              <w:t>0.25</w:t>
            </w:r>
          </w:p>
        </w:tc>
        <w:tc>
          <w:tcPr>
            <w:tcW w:w="616" w:type="dxa"/>
          </w:tcPr>
          <w:p w:rsidR="00222F36" w:rsidRDefault="000B682F">
            <w:pPr>
              <w:jc w:val="center"/>
            </w:pPr>
            <w:r>
              <w:t>6.10</w:t>
            </w:r>
          </w:p>
        </w:tc>
        <w:tc>
          <w:tcPr>
            <w:tcW w:w="605" w:type="dxa"/>
          </w:tcPr>
          <w:p w:rsidR="00222F36" w:rsidRDefault="000B682F">
            <w:pPr>
              <w:jc w:val="center"/>
            </w:pPr>
            <w:r>
              <w:t>8.46</w:t>
            </w:r>
          </w:p>
        </w:tc>
        <w:tc>
          <w:tcPr>
            <w:tcW w:w="959" w:type="dxa"/>
          </w:tcPr>
          <w:p w:rsidR="00222F36" w:rsidRDefault="000B682F">
            <w:pPr>
              <w:jc w:val="center"/>
            </w:pPr>
            <w:r>
              <w:t>8.91</w:t>
            </w:r>
          </w:p>
        </w:tc>
        <w:tc>
          <w:tcPr>
            <w:tcW w:w="959" w:type="dxa"/>
          </w:tcPr>
          <w:p w:rsidR="00222F36" w:rsidRDefault="000B682F">
            <w:pPr>
              <w:jc w:val="center"/>
            </w:pPr>
            <w:r>
              <w:t>58.36</w:t>
            </w:r>
          </w:p>
        </w:tc>
      </w:tr>
      <w:tr w:rsidR="00222F36">
        <w:trPr>
          <w:trHeight w:val="300"/>
          <w:jc w:val="center"/>
        </w:trPr>
        <w:tc>
          <w:tcPr>
            <w:tcW w:w="739" w:type="dxa"/>
            <w:tcBorders>
              <w:bottom w:val="single" w:sz="4" w:space="0" w:color="000000"/>
            </w:tcBorders>
          </w:tcPr>
          <w:p w:rsidR="00222F36" w:rsidRDefault="000B682F">
            <w:pPr>
              <w:jc w:val="center"/>
            </w:pPr>
            <w:r>
              <w:t>20</w:t>
            </w:r>
          </w:p>
        </w:tc>
        <w:tc>
          <w:tcPr>
            <w:tcW w:w="566" w:type="dxa"/>
            <w:tcBorders>
              <w:bottom w:val="single" w:sz="4" w:space="0" w:color="000000"/>
            </w:tcBorders>
          </w:tcPr>
          <w:p w:rsidR="00222F36" w:rsidRDefault="000B682F">
            <w:pPr>
              <w:jc w:val="center"/>
            </w:pPr>
            <w:r>
              <w:t>0.13</w:t>
            </w:r>
          </w:p>
        </w:tc>
        <w:tc>
          <w:tcPr>
            <w:tcW w:w="694" w:type="dxa"/>
            <w:tcBorders>
              <w:bottom w:val="single" w:sz="4" w:space="0" w:color="000000"/>
            </w:tcBorders>
          </w:tcPr>
          <w:p w:rsidR="00222F36" w:rsidRDefault="000B682F">
            <w:pPr>
              <w:jc w:val="center"/>
            </w:pPr>
            <w:r>
              <w:t>0.03</w:t>
            </w:r>
          </w:p>
        </w:tc>
        <w:tc>
          <w:tcPr>
            <w:tcW w:w="666" w:type="dxa"/>
            <w:tcBorders>
              <w:bottom w:val="single" w:sz="4" w:space="0" w:color="000000"/>
            </w:tcBorders>
          </w:tcPr>
          <w:p w:rsidR="00222F36" w:rsidRDefault="000B682F">
            <w:pPr>
              <w:jc w:val="center"/>
            </w:pPr>
            <w:r>
              <w:t>24.73</w:t>
            </w:r>
          </w:p>
        </w:tc>
        <w:tc>
          <w:tcPr>
            <w:tcW w:w="566" w:type="dxa"/>
            <w:tcBorders>
              <w:bottom w:val="single" w:sz="4" w:space="0" w:color="000000"/>
            </w:tcBorders>
          </w:tcPr>
          <w:p w:rsidR="00222F36" w:rsidRDefault="000B682F">
            <w:pPr>
              <w:jc w:val="center"/>
            </w:pPr>
            <w:r>
              <w:t>3.54</w:t>
            </w:r>
          </w:p>
        </w:tc>
        <w:tc>
          <w:tcPr>
            <w:tcW w:w="566" w:type="dxa"/>
            <w:tcBorders>
              <w:bottom w:val="single" w:sz="4" w:space="0" w:color="000000"/>
            </w:tcBorders>
          </w:tcPr>
          <w:p w:rsidR="00222F36" w:rsidRDefault="000B682F">
            <w:pPr>
              <w:jc w:val="center"/>
            </w:pPr>
            <w:r>
              <w:t>0.22</w:t>
            </w:r>
          </w:p>
        </w:tc>
        <w:tc>
          <w:tcPr>
            <w:tcW w:w="626" w:type="dxa"/>
            <w:tcBorders>
              <w:bottom w:val="single" w:sz="4" w:space="0" w:color="000000"/>
            </w:tcBorders>
          </w:tcPr>
          <w:p w:rsidR="00222F36" w:rsidRDefault="000B682F">
            <w:pPr>
              <w:jc w:val="center"/>
            </w:pPr>
            <w:r>
              <w:t>0.18</w:t>
            </w:r>
          </w:p>
        </w:tc>
        <w:tc>
          <w:tcPr>
            <w:tcW w:w="616" w:type="dxa"/>
            <w:tcBorders>
              <w:bottom w:val="single" w:sz="4" w:space="0" w:color="000000"/>
            </w:tcBorders>
          </w:tcPr>
          <w:p w:rsidR="00222F36" w:rsidRDefault="000B682F">
            <w:pPr>
              <w:jc w:val="center"/>
            </w:pPr>
            <w:r>
              <w:t>6.79</w:t>
            </w:r>
          </w:p>
        </w:tc>
        <w:tc>
          <w:tcPr>
            <w:tcW w:w="605" w:type="dxa"/>
            <w:tcBorders>
              <w:bottom w:val="single" w:sz="4" w:space="0" w:color="000000"/>
            </w:tcBorders>
          </w:tcPr>
          <w:p w:rsidR="00222F36" w:rsidRDefault="000B682F">
            <w:pPr>
              <w:jc w:val="center"/>
            </w:pPr>
            <w:r>
              <w:t>7.78</w:t>
            </w:r>
          </w:p>
        </w:tc>
        <w:tc>
          <w:tcPr>
            <w:tcW w:w="959" w:type="dxa"/>
            <w:tcBorders>
              <w:bottom w:val="single" w:sz="4" w:space="0" w:color="000000"/>
            </w:tcBorders>
          </w:tcPr>
          <w:p w:rsidR="00222F36" w:rsidRDefault="000B682F">
            <w:pPr>
              <w:jc w:val="center"/>
            </w:pPr>
            <w:r>
              <w:t>9.63</w:t>
            </w:r>
          </w:p>
        </w:tc>
        <w:tc>
          <w:tcPr>
            <w:tcW w:w="959" w:type="dxa"/>
            <w:tcBorders>
              <w:bottom w:val="single" w:sz="4" w:space="0" w:color="000000"/>
            </w:tcBorders>
          </w:tcPr>
          <w:p w:rsidR="00222F36" w:rsidRDefault="000B682F">
            <w:pPr>
              <w:jc w:val="center"/>
            </w:pPr>
            <w:r>
              <w:t>57.89</w:t>
            </w:r>
          </w:p>
        </w:tc>
      </w:tr>
      <w:tr w:rsidR="00222F36">
        <w:trPr>
          <w:trHeight w:val="300"/>
          <w:jc w:val="center"/>
        </w:trPr>
        <w:tc>
          <w:tcPr>
            <w:tcW w:w="7562" w:type="dxa"/>
            <w:gridSpan w:val="11"/>
            <w:tcBorders>
              <w:top w:val="single" w:sz="4" w:space="0" w:color="000000"/>
            </w:tcBorders>
            <w:vAlign w:val="center"/>
          </w:tcPr>
          <w:p w:rsidR="00222F36" w:rsidRDefault="000B682F">
            <w:pPr>
              <w:jc w:val="left"/>
            </w:pPr>
            <w:r>
              <w:rPr>
                <w:color w:val="000000"/>
                <w:sz w:val="16"/>
                <w:szCs w:val="16"/>
              </w:rPr>
              <w:t>Notes: Numbers reported are in percentages. Lowercase variables are in logarithms.</w:t>
            </w:r>
          </w:p>
        </w:tc>
      </w:tr>
    </w:tbl>
    <w:p w:rsidR="00222F36" w:rsidRDefault="00222F36"/>
    <w:p w:rsidR="00222F36" w:rsidRDefault="000B682F">
      <w:pPr>
        <w:ind w:firstLine="720"/>
      </w:pPr>
      <w:r>
        <w:t xml:space="preserve">Table A7 reports the FEVD of a shock to WSJ derived sentiment (using the LM lexicon). Compared to the FEVD of a shock to WSJ derived sentiment (using our approach/avoidance lexicon), the sentiment shock derived using LM does not have any power in explaining variation in output or the stock market. It does explain more of the variation in bank loans and the risk spread. Our interpretation is that the sentiment derived from the approach/avoidance lexicon has a different information content to the one derived from LM. </w:t>
      </w:r>
    </w:p>
    <w:p w:rsidR="00222F36" w:rsidRDefault="000B682F">
      <w:pPr>
        <w:ind w:firstLine="720"/>
      </w:pPr>
      <w:r>
        <w:lastRenderedPageBreak/>
        <w:t xml:space="preserve">The next robustness check is to include the WSJ-derived LM sentiment in the same model as the WSJ-derived sentiment using the approach/avoidance lexicon. We order the LM based sentiment series first. If the two series have the same information content the approach/avoidance variable should not explain any of the variation in the variables included in the model. </w:t>
      </w:r>
    </w:p>
    <w:p w:rsidR="00222F36" w:rsidRDefault="000B682F">
      <w:r>
        <w:tab/>
        <w:t xml:space="preserve">Table A8 reports the FEVD for a shock to WSJ-derived sentiment using the approach/avoidance lexicon; this time with the WSJ-derived sentiment using the LM lexicon. The first thing to note is the WSJ-derived sentiment using the LM lexicon does not change the impact that the A/A-based sentiment series has on industrial production and the stock market. Similar to what we saw in Table A7, the LM-based sentiment series has an impact on bank loans. Table A9 reports the FEVD of a shock to the LM-Based sentiment series (derived from the WSJ). It is apparent that the LM-based sentiment series (obtained from the WSJ) has a bigger impact on bank loans and prices, a similar impact on the risk spread (albeit with a delay), but a smaller impact on industrial production and the stock market than the A/A-based sentiment series. </w:t>
      </w:r>
    </w:p>
    <w:p w:rsidR="00222F36" w:rsidRDefault="000B682F">
      <w:r>
        <w:tab/>
        <w:t xml:space="preserve">Importantly, the LM-based sentiment series explains at most 26% of the observed variation in the A/A-based sentiment series. There is clearly some information in both series that are similar but there is clearly a large amount of information in the A/A-based sentiment series that is orthogonal to the LM-based series. </w:t>
      </w:r>
    </w:p>
    <w:p w:rsidR="00222F36" w:rsidRDefault="000B682F">
      <w:r>
        <w:rPr>
          <w:b/>
        </w:rPr>
        <w:t>Table A8: FEVD of a shock to A/A-Based Sentiment for Model with WSJ based sentiment (LM and A/A)</w:t>
      </w:r>
    </w:p>
    <w:tbl>
      <w:tblPr>
        <w:tblStyle w:val="aa"/>
        <w:tblW w:w="74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
        <w:gridCol w:w="666"/>
        <w:gridCol w:w="694"/>
        <w:gridCol w:w="650"/>
        <w:gridCol w:w="566"/>
        <w:gridCol w:w="566"/>
        <w:gridCol w:w="626"/>
        <w:gridCol w:w="616"/>
        <w:gridCol w:w="566"/>
        <w:gridCol w:w="803"/>
        <w:gridCol w:w="981"/>
      </w:tblGrid>
      <w:tr w:rsidR="00222F36">
        <w:trPr>
          <w:trHeight w:val="300"/>
          <w:jc w:val="center"/>
        </w:trPr>
        <w:tc>
          <w:tcPr>
            <w:tcW w:w="739" w:type="dxa"/>
            <w:vAlign w:val="center"/>
          </w:tcPr>
          <w:p w:rsidR="00222F36" w:rsidRDefault="000B682F">
            <w:pPr>
              <w:spacing w:line="240" w:lineRule="auto"/>
              <w:jc w:val="center"/>
              <w:rPr>
                <w:color w:val="000000"/>
              </w:rPr>
            </w:pPr>
            <w:r>
              <w:rPr>
                <w:color w:val="000000"/>
              </w:rPr>
              <w:t>Period</w:t>
            </w:r>
          </w:p>
        </w:tc>
        <w:tc>
          <w:tcPr>
            <w:tcW w:w="666" w:type="dxa"/>
            <w:vAlign w:val="center"/>
          </w:tcPr>
          <w:p w:rsidR="00222F36" w:rsidRDefault="000B682F">
            <w:pPr>
              <w:spacing w:line="240" w:lineRule="auto"/>
              <w:jc w:val="center"/>
              <w:rPr>
                <w:i/>
                <w:color w:val="000000"/>
              </w:rPr>
            </w:pPr>
            <w:r>
              <w:rPr>
                <w:i/>
                <w:color w:val="000000"/>
              </w:rPr>
              <w:t>ip</w:t>
            </w:r>
          </w:p>
        </w:tc>
        <w:tc>
          <w:tcPr>
            <w:tcW w:w="694" w:type="dxa"/>
            <w:vAlign w:val="center"/>
          </w:tcPr>
          <w:p w:rsidR="00222F36" w:rsidRDefault="000B682F">
            <w:pPr>
              <w:spacing w:line="240" w:lineRule="auto"/>
              <w:jc w:val="center"/>
              <w:rPr>
                <w:i/>
                <w:color w:val="000000"/>
              </w:rPr>
            </w:pPr>
            <w:r>
              <w:rPr>
                <w:i/>
                <w:color w:val="000000"/>
              </w:rPr>
              <w:t>sp500</w:t>
            </w:r>
          </w:p>
        </w:tc>
        <w:tc>
          <w:tcPr>
            <w:tcW w:w="650" w:type="dxa"/>
            <w:vAlign w:val="center"/>
          </w:tcPr>
          <w:p w:rsidR="00222F36" w:rsidRDefault="000B682F">
            <w:pPr>
              <w:spacing w:line="240" w:lineRule="auto"/>
              <w:jc w:val="center"/>
              <w:rPr>
                <w:i/>
                <w:color w:val="000000"/>
              </w:rPr>
            </w:pPr>
            <w:r>
              <w:rPr>
                <w:i/>
                <w:color w:val="000000"/>
              </w:rPr>
              <w:t>loans</w:t>
            </w:r>
          </w:p>
        </w:tc>
        <w:tc>
          <w:tcPr>
            <w:tcW w:w="566" w:type="dxa"/>
            <w:vAlign w:val="center"/>
          </w:tcPr>
          <w:p w:rsidR="00222F36" w:rsidRDefault="000B682F">
            <w:pPr>
              <w:spacing w:line="240" w:lineRule="auto"/>
              <w:jc w:val="center"/>
              <w:rPr>
                <w:i/>
                <w:color w:val="000000"/>
              </w:rPr>
            </w:pPr>
            <w:r>
              <w:rPr>
                <w:i/>
                <w:color w:val="000000"/>
              </w:rPr>
              <w:t>p</w:t>
            </w:r>
          </w:p>
        </w:tc>
        <w:tc>
          <w:tcPr>
            <w:tcW w:w="566" w:type="dxa"/>
            <w:vAlign w:val="center"/>
          </w:tcPr>
          <w:p w:rsidR="00222F36" w:rsidRDefault="000B682F">
            <w:pPr>
              <w:spacing w:line="240" w:lineRule="auto"/>
              <w:jc w:val="center"/>
              <w:rPr>
                <w:color w:val="000000"/>
              </w:rPr>
            </w:pPr>
            <w:r>
              <w:rPr>
                <w:color w:val="000000"/>
                <w:sz w:val="24"/>
                <w:szCs w:val="24"/>
              </w:rPr>
              <w:object w:dxaOrig="350" w:dyaOrig="250">
                <v:shape id="_x0000_i1141" type="#_x0000_t75" style="width:17.55pt;height:12.5pt" o:ole="">
                  <v:imagedata r:id="rId27" o:title=""/>
                </v:shape>
                <o:OLEObject Type="Embed" ProgID="Equation.DSMT4" ShapeID="_x0000_i1141" DrawAspect="Content" ObjectID="_1707118240" r:id="rId245"/>
              </w:object>
            </w:r>
          </w:p>
        </w:tc>
        <w:tc>
          <w:tcPr>
            <w:tcW w:w="626" w:type="dxa"/>
            <w:vAlign w:val="center"/>
          </w:tcPr>
          <w:p w:rsidR="00222F36" w:rsidRDefault="000B682F">
            <w:pPr>
              <w:spacing w:line="240" w:lineRule="auto"/>
              <w:jc w:val="center"/>
              <w:rPr>
                <w:color w:val="000000"/>
              </w:rPr>
            </w:pPr>
            <w:r>
              <w:rPr>
                <w:color w:val="000000"/>
                <w:sz w:val="24"/>
                <w:szCs w:val="24"/>
              </w:rPr>
              <w:object w:dxaOrig="410" w:dyaOrig="250">
                <v:shape id="_x0000_i1142" type="#_x0000_t75" style="width:20.65pt;height:12.5pt" o:ole="">
                  <v:imagedata r:id="rId29" o:title=""/>
                </v:shape>
                <o:OLEObject Type="Embed" ProgID="Equation.DSMT4" ShapeID="_x0000_i1142" DrawAspect="Content" ObjectID="_1707118241" r:id="rId246"/>
              </w:object>
            </w:r>
          </w:p>
        </w:tc>
        <w:tc>
          <w:tcPr>
            <w:tcW w:w="616" w:type="dxa"/>
            <w:vAlign w:val="center"/>
          </w:tcPr>
          <w:p w:rsidR="00222F36" w:rsidRDefault="000B682F">
            <w:pPr>
              <w:spacing w:line="240" w:lineRule="auto"/>
              <w:jc w:val="center"/>
              <w:rPr>
                <w:color w:val="000000"/>
              </w:rPr>
            </w:pPr>
            <w:r>
              <w:rPr>
                <w:color w:val="000000"/>
                <w:sz w:val="24"/>
                <w:szCs w:val="24"/>
              </w:rPr>
              <w:object w:dxaOrig="400" w:dyaOrig="250">
                <v:shape id="_x0000_i1143" type="#_x0000_t75" style="width:20.05pt;height:12.5pt" o:ole="">
                  <v:imagedata r:id="rId31" o:title=""/>
                </v:shape>
                <o:OLEObject Type="Embed" ProgID="Equation.DSMT4" ShapeID="_x0000_i1143" DrawAspect="Content" ObjectID="_1707118242" r:id="rId247"/>
              </w:object>
            </w:r>
          </w:p>
        </w:tc>
        <w:tc>
          <w:tcPr>
            <w:tcW w:w="566" w:type="dxa"/>
            <w:vAlign w:val="center"/>
          </w:tcPr>
          <w:p w:rsidR="00222F36" w:rsidRDefault="000B682F">
            <w:pPr>
              <w:spacing w:line="240" w:lineRule="auto"/>
              <w:jc w:val="center"/>
              <w:rPr>
                <w:i/>
                <w:color w:val="000000"/>
                <w:sz w:val="16"/>
                <w:szCs w:val="16"/>
              </w:rPr>
            </w:pPr>
            <w:r>
              <w:rPr>
                <w:i/>
                <w:color w:val="000000"/>
                <w:sz w:val="16"/>
                <w:szCs w:val="16"/>
              </w:rPr>
              <w:t>EPU</w:t>
            </w:r>
          </w:p>
        </w:tc>
        <w:tc>
          <w:tcPr>
            <w:tcW w:w="803" w:type="dxa"/>
            <w:vAlign w:val="center"/>
          </w:tcPr>
          <w:p w:rsidR="00222F36" w:rsidRDefault="000B682F">
            <w:pPr>
              <w:spacing w:line="240" w:lineRule="auto"/>
              <w:jc w:val="center"/>
              <w:rPr>
                <w:i/>
                <w:color w:val="000000"/>
                <w:sz w:val="16"/>
                <w:szCs w:val="16"/>
              </w:rPr>
            </w:pPr>
            <w:r>
              <w:rPr>
                <w:i/>
                <w:color w:val="000000"/>
                <w:sz w:val="16"/>
                <w:szCs w:val="16"/>
              </w:rPr>
              <w:t>S</w:t>
            </w:r>
            <w:r>
              <w:rPr>
                <w:i/>
                <w:color w:val="000000"/>
                <w:sz w:val="16"/>
                <w:szCs w:val="16"/>
                <w:vertAlign w:val="superscript"/>
              </w:rPr>
              <w:t>WSJ</w:t>
            </w:r>
            <w:r>
              <w:rPr>
                <w:i/>
                <w:color w:val="000000"/>
                <w:sz w:val="16"/>
                <w:szCs w:val="16"/>
              </w:rPr>
              <w:t>(LM)</w:t>
            </w:r>
          </w:p>
        </w:tc>
        <w:tc>
          <w:tcPr>
            <w:tcW w:w="981" w:type="dxa"/>
            <w:vAlign w:val="center"/>
          </w:tcPr>
          <w:p w:rsidR="00222F36" w:rsidRDefault="000B682F">
            <w:pPr>
              <w:spacing w:line="240" w:lineRule="auto"/>
              <w:jc w:val="center"/>
              <w:rPr>
                <w:i/>
                <w:color w:val="000000"/>
              </w:rPr>
            </w:pPr>
            <w:r>
              <w:rPr>
                <w:i/>
                <w:color w:val="000000"/>
              </w:rPr>
              <w:t>S</w:t>
            </w:r>
            <w:r>
              <w:rPr>
                <w:i/>
                <w:color w:val="000000"/>
                <w:vertAlign w:val="superscript"/>
              </w:rPr>
              <w:t>WSJ</w:t>
            </w:r>
            <w:r>
              <w:rPr>
                <w:i/>
                <w:color w:val="000000"/>
              </w:rPr>
              <w:t>(A/A)</w:t>
            </w:r>
          </w:p>
        </w:tc>
      </w:tr>
      <w:tr w:rsidR="00222F36">
        <w:trPr>
          <w:trHeight w:val="300"/>
          <w:jc w:val="center"/>
        </w:trPr>
        <w:tc>
          <w:tcPr>
            <w:tcW w:w="739" w:type="dxa"/>
            <w:tcBorders>
              <w:top w:val="nil"/>
              <w:left w:val="nil"/>
              <w:bottom w:val="nil"/>
              <w:right w:val="nil"/>
            </w:tcBorders>
            <w:shd w:val="clear" w:color="auto" w:fill="auto"/>
            <w:vAlign w:val="center"/>
          </w:tcPr>
          <w:p w:rsidR="00222F36" w:rsidRDefault="000B682F">
            <w:pPr>
              <w:jc w:val="center"/>
              <w:rPr>
                <w:color w:val="000000"/>
              </w:rPr>
            </w:pPr>
            <w:r>
              <w:rPr>
                <w:color w:val="000000"/>
              </w:rPr>
              <w:t>1</w:t>
            </w:r>
          </w:p>
        </w:tc>
        <w:tc>
          <w:tcPr>
            <w:tcW w:w="666" w:type="dxa"/>
            <w:tcBorders>
              <w:top w:val="nil"/>
              <w:left w:val="nil"/>
              <w:bottom w:val="nil"/>
              <w:right w:val="nil"/>
            </w:tcBorders>
            <w:shd w:val="clear" w:color="auto" w:fill="auto"/>
            <w:vAlign w:val="center"/>
          </w:tcPr>
          <w:p w:rsidR="00222F36" w:rsidRDefault="000B682F">
            <w:pPr>
              <w:jc w:val="center"/>
              <w:rPr>
                <w:color w:val="000000"/>
              </w:rPr>
            </w:pPr>
            <w:r>
              <w:rPr>
                <w:color w:val="000000"/>
              </w:rPr>
              <w:t>0.00</w:t>
            </w:r>
          </w:p>
        </w:tc>
        <w:tc>
          <w:tcPr>
            <w:tcW w:w="694" w:type="dxa"/>
            <w:tcBorders>
              <w:top w:val="nil"/>
              <w:left w:val="nil"/>
              <w:bottom w:val="nil"/>
              <w:right w:val="nil"/>
            </w:tcBorders>
            <w:shd w:val="clear" w:color="auto" w:fill="auto"/>
            <w:vAlign w:val="center"/>
          </w:tcPr>
          <w:p w:rsidR="00222F36" w:rsidRDefault="000B682F">
            <w:pPr>
              <w:jc w:val="center"/>
              <w:rPr>
                <w:color w:val="000000"/>
              </w:rPr>
            </w:pPr>
            <w:r>
              <w:rPr>
                <w:color w:val="000000"/>
              </w:rPr>
              <w:t>0.00</w:t>
            </w:r>
          </w:p>
        </w:tc>
        <w:tc>
          <w:tcPr>
            <w:tcW w:w="650" w:type="dxa"/>
            <w:tcBorders>
              <w:top w:val="nil"/>
              <w:left w:val="nil"/>
              <w:bottom w:val="nil"/>
              <w:right w:val="nil"/>
            </w:tcBorders>
            <w:shd w:val="clear" w:color="auto" w:fill="auto"/>
            <w:vAlign w:val="center"/>
          </w:tcPr>
          <w:p w:rsidR="00222F36" w:rsidRDefault="000B682F">
            <w:pPr>
              <w:jc w:val="center"/>
              <w:rPr>
                <w:color w:val="000000"/>
              </w:rPr>
            </w:pPr>
            <w:r>
              <w:rPr>
                <w:color w:val="000000"/>
              </w:rPr>
              <w:t>0.00</w:t>
            </w:r>
          </w:p>
        </w:tc>
        <w:tc>
          <w:tcPr>
            <w:tcW w:w="566" w:type="dxa"/>
            <w:tcBorders>
              <w:top w:val="nil"/>
              <w:left w:val="nil"/>
              <w:bottom w:val="nil"/>
              <w:right w:val="nil"/>
            </w:tcBorders>
            <w:shd w:val="clear" w:color="auto" w:fill="auto"/>
            <w:vAlign w:val="center"/>
          </w:tcPr>
          <w:p w:rsidR="00222F36" w:rsidRDefault="000B682F">
            <w:pPr>
              <w:jc w:val="center"/>
              <w:rPr>
                <w:color w:val="000000"/>
              </w:rPr>
            </w:pPr>
            <w:r>
              <w:rPr>
                <w:color w:val="000000"/>
              </w:rPr>
              <w:t>0.00</w:t>
            </w:r>
          </w:p>
        </w:tc>
        <w:tc>
          <w:tcPr>
            <w:tcW w:w="566" w:type="dxa"/>
            <w:tcBorders>
              <w:top w:val="nil"/>
              <w:left w:val="nil"/>
              <w:bottom w:val="nil"/>
              <w:right w:val="nil"/>
            </w:tcBorders>
            <w:shd w:val="clear" w:color="auto" w:fill="auto"/>
            <w:vAlign w:val="center"/>
          </w:tcPr>
          <w:p w:rsidR="00222F36" w:rsidRDefault="000B682F">
            <w:pPr>
              <w:jc w:val="center"/>
              <w:rPr>
                <w:color w:val="000000"/>
              </w:rPr>
            </w:pPr>
            <w:r>
              <w:rPr>
                <w:color w:val="000000"/>
              </w:rPr>
              <w:t>0.00</w:t>
            </w:r>
          </w:p>
        </w:tc>
        <w:tc>
          <w:tcPr>
            <w:tcW w:w="626" w:type="dxa"/>
            <w:tcBorders>
              <w:top w:val="nil"/>
              <w:left w:val="nil"/>
              <w:bottom w:val="nil"/>
              <w:right w:val="nil"/>
            </w:tcBorders>
            <w:shd w:val="clear" w:color="auto" w:fill="auto"/>
            <w:vAlign w:val="center"/>
          </w:tcPr>
          <w:p w:rsidR="00222F36" w:rsidRDefault="000B682F">
            <w:pPr>
              <w:jc w:val="center"/>
              <w:rPr>
                <w:color w:val="000000"/>
              </w:rPr>
            </w:pPr>
            <w:r>
              <w:rPr>
                <w:color w:val="000000"/>
              </w:rPr>
              <w:t>0.00</w:t>
            </w:r>
          </w:p>
        </w:tc>
        <w:tc>
          <w:tcPr>
            <w:tcW w:w="616" w:type="dxa"/>
            <w:tcBorders>
              <w:top w:val="nil"/>
              <w:left w:val="nil"/>
              <w:bottom w:val="nil"/>
              <w:right w:val="nil"/>
            </w:tcBorders>
            <w:shd w:val="clear" w:color="auto" w:fill="auto"/>
            <w:vAlign w:val="center"/>
          </w:tcPr>
          <w:p w:rsidR="00222F36" w:rsidRDefault="000B682F">
            <w:pPr>
              <w:jc w:val="center"/>
              <w:rPr>
                <w:color w:val="000000"/>
              </w:rPr>
            </w:pPr>
            <w:r>
              <w:rPr>
                <w:color w:val="000000"/>
              </w:rPr>
              <w:t>0.00</w:t>
            </w:r>
          </w:p>
        </w:tc>
        <w:tc>
          <w:tcPr>
            <w:tcW w:w="566" w:type="dxa"/>
            <w:tcBorders>
              <w:top w:val="nil"/>
              <w:left w:val="nil"/>
              <w:bottom w:val="nil"/>
              <w:right w:val="nil"/>
            </w:tcBorders>
            <w:shd w:val="clear" w:color="auto" w:fill="auto"/>
            <w:vAlign w:val="center"/>
          </w:tcPr>
          <w:p w:rsidR="00222F36" w:rsidRDefault="000B682F">
            <w:pPr>
              <w:jc w:val="center"/>
              <w:rPr>
                <w:color w:val="000000"/>
              </w:rPr>
            </w:pPr>
            <w:r>
              <w:rPr>
                <w:color w:val="000000"/>
              </w:rPr>
              <w:t>0.00</w:t>
            </w:r>
          </w:p>
        </w:tc>
        <w:tc>
          <w:tcPr>
            <w:tcW w:w="803" w:type="dxa"/>
            <w:tcBorders>
              <w:top w:val="nil"/>
              <w:left w:val="nil"/>
              <w:bottom w:val="nil"/>
              <w:right w:val="nil"/>
            </w:tcBorders>
            <w:shd w:val="clear" w:color="auto" w:fill="auto"/>
            <w:vAlign w:val="center"/>
          </w:tcPr>
          <w:p w:rsidR="00222F36" w:rsidRDefault="000B682F">
            <w:pPr>
              <w:jc w:val="center"/>
              <w:rPr>
                <w:color w:val="000000"/>
              </w:rPr>
            </w:pPr>
            <w:r>
              <w:rPr>
                <w:color w:val="000000"/>
              </w:rPr>
              <w:t>0.00</w:t>
            </w:r>
          </w:p>
        </w:tc>
        <w:tc>
          <w:tcPr>
            <w:tcW w:w="981" w:type="dxa"/>
            <w:tcBorders>
              <w:top w:val="nil"/>
              <w:left w:val="nil"/>
              <w:bottom w:val="nil"/>
              <w:right w:val="nil"/>
            </w:tcBorders>
            <w:shd w:val="clear" w:color="auto" w:fill="auto"/>
            <w:vAlign w:val="center"/>
          </w:tcPr>
          <w:p w:rsidR="00222F36" w:rsidRDefault="000B682F">
            <w:pPr>
              <w:jc w:val="center"/>
              <w:rPr>
                <w:color w:val="000000"/>
              </w:rPr>
            </w:pPr>
            <w:r>
              <w:rPr>
                <w:color w:val="000000"/>
              </w:rPr>
              <w:t>69.00</w:t>
            </w:r>
          </w:p>
        </w:tc>
      </w:tr>
      <w:tr w:rsidR="00222F36">
        <w:trPr>
          <w:trHeight w:val="300"/>
          <w:jc w:val="center"/>
        </w:trPr>
        <w:tc>
          <w:tcPr>
            <w:tcW w:w="739" w:type="dxa"/>
            <w:tcBorders>
              <w:top w:val="nil"/>
              <w:left w:val="nil"/>
              <w:bottom w:val="nil"/>
              <w:right w:val="nil"/>
            </w:tcBorders>
            <w:shd w:val="clear" w:color="auto" w:fill="auto"/>
            <w:vAlign w:val="center"/>
          </w:tcPr>
          <w:p w:rsidR="00222F36" w:rsidRDefault="000B682F">
            <w:pPr>
              <w:jc w:val="center"/>
              <w:rPr>
                <w:color w:val="000000"/>
              </w:rPr>
            </w:pPr>
            <w:r>
              <w:rPr>
                <w:color w:val="000000"/>
              </w:rPr>
              <w:t>2</w:t>
            </w:r>
          </w:p>
        </w:tc>
        <w:tc>
          <w:tcPr>
            <w:tcW w:w="666" w:type="dxa"/>
            <w:tcBorders>
              <w:top w:val="nil"/>
              <w:left w:val="nil"/>
              <w:bottom w:val="nil"/>
              <w:right w:val="nil"/>
            </w:tcBorders>
            <w:shd w:val="clear" w:color="auto" w:fill="auto"/>
            <w:vAlign w:val="center"/>
          </w:tcPr>
          <w:p w:rsidR="00222F36" w:rsidRDefault="000B682F">
            <w:pPr>
              <w:jc w:val="center"/>
              <w:rPr>
                <w:color w:val="000000"/>
              </w:rPr>
            </w:pPr>
            <w:r>
              <w:rPr>
                <w:color w:val="000000"/>
              </w:rPr>
              <w:t>1.07</w:t>
            </w:r>
          </w:p>
        </w:tc>
        <w:tc>
          <w:tcPr>
            <w:tcW w:w="694" w:type="dxa"/>
            <w:tcBorders>
              <w:top w:val="nil"/>
              <w:left w:val="nil"/>
              <w:bottom w:val="nil"/>
              <w:right w:val="nil"/>
            </w:tcBorders>
            <w:shd w:val="clear" w:color="auto" w:fill="auto"/>
            <w:vAlign w:val="center"/>
          </w:tcPr>
          <w:p w:rsidR="00222F36" w:rsidRDefault="000B682F">
            <w:pPr>
              <w:jc w:val="center"/>
              <w:rPr>
                <w:color w:val="000000"/>
              </w:rPr>
            </w:pPr>
            <w:r>
              <w:rPr>
                <w:color w:val="000000"/>
              </w:rPr>
              <w:t>0.04</w:t>
            </w:r>
          </w:p>
        </w:tc>
        <w:tc>
          <w:tcPr>
            <w:tcW w:w="650" w:type="dxa"/>
            <w:tcBorders>
              <w:top w:val="nil"/>
              <w:left w:val="nil"/>
              <w:bottom w:val="nil"/>
              <w:right w:val="nil"/>
            </w:tcBorders>
            <w:shd w:val="clear" w:color="auto" w:fill="auto"/>
            <w:vAlign w:val="center"/>
          </w:tcPr>
          <w:p w:rsidR="00222F36" w:rsidRDefault="000B682F">
            <w:pPr>
              <w:jc w:val="center"/>
              <w:rPr>
                <w:color w:val="000000"/>
              </w:rPr>
            </w:pPr>
            <w:r>
              <w:rPr>
                <w:color w:val="000000"/>
              </w:rPr>
              <w:t>0.06</w:t>
            </w:r>
          </w:p>
        </w:tc>
        <w:tc>
          <w:tcPr>
            <w:tcW w:w="566" w:type="dxa"/>
            <w:tcBorders>
              <w:top w:val="nil"/>
              <w:left w:val="nil"/>
              <w:bottom w:val="nil"/>
              <w:right w:val="nil"/>
            </w:tcBorders>
            <w:shd w:val="clear" w:color="auto" w:fill="auto"/>
            <w:vAlign w:val="center"/>
          </w:tcPr>
          <w:p w:rsidR="00222F36" w:rsidRDefault="000B682F">
            <w:pPr>
              <w:jc w:val="center"/>
              <w:rPr>
                <w:color w:val="000000"/>
              </w:rPr>
            </w:pPr>
            <w:r>
              <w:rPr>
                <w:color w:val="000000"/>
              </w:rPr>
              <w:t>0.01</w:t>
            </w:r>
          </w:p>
        </w:tc>
        <w:tc>
          <w:tcPr>
            <w:tcW w:w="566" w:type="dxa"/>
            <w:tcBorders>
              <w:top w:val="nil"/>
              <w:left w:val="nil"/>
              <w:bottom w:val="nil"/>
              <w:right w:val="nil"/>
            </w:tcBorders>
            <w:shd w:val="clear" w:color="auto" w:fill="auto"/>
            <w:vAlign w:val="center"/>
          </w:tcPr>
          <w:p w:rsidR="00222F36" w:rsidRDefault="000B682F">
            <w:pPr>
              <w:jc w:val="center"/>
              <w:rPr>
                <w:color w:val="000000"/>
              </w:rPr>
            </w:pPr>
            <w:r>
              <w:rPr>
                <w:color w:val="000000"/>
              </w:rPr>
              <w:t>0.10</w:t>
            </w:r>
          </w:p>
        </w:tc>
        <w:tc>
          <w:tcPr>
            <w:tcW w:w="626" w:type="dxa"/>
            <w:tcBorders>
              <w:top w:val="nil"/>
              <w:left w:val="nil"/>
              <w:bottom w:val="nil"/>
              <w:right w:val="nil"/>
            </w:tcBorders>
            <w:shd w:val="clear" w:color="auto" w:fill="auto"/>
            <w:vAlign w:val="center"/>
          </w:tcPr>
          <w:p w:rsidR="00222F36" w:rsidRDefault="000B682F">
            <w:pPr>
              <w:jc w:val="center"/>
              <w:rPr>
                <w:color w:val="000000"/>
              </w:rPr>
            </w:pPr>
            <w:r>
              <w:rPr>
                <w:color w:val="000000"/>
              </w:rPr>
              <w:t>0.09</w:t>
            </w:r>
          </w:p>
        </w:tc>
        <w:tc>
          <w:tcPr>
            <w:tcW w:w="616" w:type="dxa"/>
            <w:tcBorders>
              <w:top w:val="nil"/>
              <w:left w:val="nil"/>
              <w:bottom w:val="nil"/>
              <w:right w:val="nil"/>
            </w:tcBorders>
            <w:shd w:val="clear" w:color="auto" w:fill="auto"/>
            <w:vAlign w:val="center"/>
          </w:tcPr>
          <w:p w:rsidR="00222F36" w:rsidRDefault="000B682F">
            <w:pPr>
              <w:jc w:val="center"/>
              <w:rPr>
                <w:color w:val="000000"/>
              </w:rPr>
            </w:pPr>
            <w:r>
              <w:rPr>
                <w:color w:val="000000"/>
              </w:rPr>
              <w:t>0.27</w:t>
            </w:r>
          </w:p>
        </w:tc>
        <w:tc>
          <w:tcPr>
            <w:tcW w:w="566" w:type="dxa"/>
            <w:tcBorders>
              <w:top w:val="nil"/>
              <w:left w:val="nil"/>
              <w:bottom w:val="nil"/>
              <w:right w:val="nil"/>
            </w:tcBorders>
            <w:shd w:val="clear" w:color="auto" w:fill="auto"/>
            <w:vAlign w:val="center"/>
          </w:tcPr>
          <w:p w:rsidR="00222F36" w:rsidRDefault="000B682F">
            <w:pPr>
              <w:jc w:val="center"/>
              <w:rPr>
                <w:color w:val="000000"/>
              </w:rPr>
            </w:pPr>
            <w:r>
              <w:rPr>
                <w:color w:val="000000"/>
              </w:rPr>
              <w:t>3.66</w:t>
            </w:r>
          </w:p>
        </w:tc>
        <w:tc>
          <w:tcPr>
            <w:tcW w:w="803" w:type="dxa"/>
            <w:tcBorders>
              <w:top w:val="nil"/>
              <w:left w:val="nil"/>
              <w:bottom w:val="nil"/>
              <w:right w:val="nil"/>
            </w:tcBorders>
            <w:shd w:val="clear" w:color="auto" w:fill="auto"/>
            <w:vAlign w:val="center"/>
          </w:tcPr>
          <w:p w:rsidR="00222F36" w:rsidRDefault="000B682F">
            <w:pPr>
              <w:jc w:val="center"/>
              <w:rPr>
                <w:color w:val="000000"/>
              </w:rPr>
            </w:pPr>
            <w:r>
              <w:rPr>
                <w:color w:val="000000"/>
              </w:rPr>
              <w:t>0.01</w:t>
            </w:r>
          </w:p>
        </w:tc>
        <w:tc>
          <w:tcPr>
            <w:tcW w:w="981" w:type="dxa"/>
            <w:tcBorders>
              <w:top w:val="nil"/>
              <w:left w:val="nil"/>
              <w:bottom w:val="nil"/>
              <w:right w:val="nil"/>
            </w:tcBorders>
            <w:shd w:val="clear" w:color="auto" w:fill="auto"/>
            <w:vAlign w:val="center"/>
          </w:tcPr>
          <w:p w:rsidR="00222F36" w:rsidRDefault="000B682F">
            <w:pPr>
              <w:jc w:val="center"/>
              <w:rPr>
                <w:color w:val="000000"/>
              </w:rPr>
            </w:pPr>
            <w:r>
              <w:rPr>
                <w:color w:val="000000"/>
              </w:rPr>
              <w:t>60.96</w:t>
            </w:r>
          </w:p>
        </w:tc>
      </w:tr>
      <w:tr w:rsidR="00222F36">
        <w:trPr>
          <w:trHeight w:val="300"/>
          <w:jc w:val="center"/>
        </w:trPr>
        <w:tc>
          <w:tcPr>
            <w:tcW w:w="739" w:type="dxa"/>
            <w:tcBorders>
              <w:top w:val="nil"/>
              <w:left w:val="nil"/>
              <w:bottom w:val="nil"/>
              <w:right w:val="nil"/>
            </w:tcBorders>
            <w:shd w:val="clear" w:color="auto" w:fill="auto"/>
            <w:vAlign w:val="center"/>
          </w:tcPr>
          <w:p w:rsidR="00222F36" w:rsidRDefault="000B682F">
            <w:pPr>
              <w:jc w:val="center"/>
              <w:rPr>
                <w:color w:val="000000"/>
              </w:rPr>
            </w:pPr>
            <w:r>
              <w:rPr>
                <w:color w:val="000000"/>
              </w:rPr>
              <w:t>3</w:t>
            </w:r>
          </w:p>
        </w:tc>
        <w:tc>
          <w:tcPr>
            <w:tcW w:w="666" w:type="dxa"/>
            <w:tcBorders>
              <w:top w:val="nil"/>
              <w:left w:val="nil"/>
              <w:bottom w:val="nil"/>
              <w:right w:val="nil"/>
            </w:tcBorders>
            <w:shd w:val="clear" w:color="auto" w:fill="auto"/>
            <w:vAlign w:val="center"/>
          </w:tcPr>
          <w:p w:rsidR="00222F36" w:rsidRDefault="000B682F">
            <w:pPr>
              <w:jc w:val="center"/>
              <w:rPr>
                <w:color w:val="000000"/>
              </w:rPr>
            </w:pPr>
            <w:r>
              <w:rPr>
                <w:color w:val="000000"/>
              </w:rPr>
              <w:t>2.73</w:t>
            </w:r>
          </w:p>
        </w:tc>
        <w:tc>
          <w:tcPr>
            <w:tcW w:w="694" w:type="dxa"/>
            <w:tcBorders>
              <w:top w:val="nil"/>
              <w:left w:val="nil"/>
              <w:bottom w:val="nil"/>
              <w:right w:val="nil"/>
            </w:tcBorders>
            <w:shd w:val="clear" w:color="auto" w:fill="auto"/>
            <w:vAlign w:val="center"/>
          </w:tcPr>
          <w:p w:rsidR="00222F36" w:rsidRDefault="000B682F">
            <w:pPr>
              <w:jc w:val="center"/>
              <w:rPr>
                <w:color w:val="000000"/>
              </w:rPr>
            </w:pPr>
            <w:r>
              <w:rPr>
                <w:color w:val="000000"/>
              </w:rPr>
              <w:t>0.20</w:t>
            </w:r>
          </w:p>
        </w:tc>
        <w:tc>
          <w:tcPr>
            <w:tcW w:w="650" w:type="dxa"/>
            <w:tcBorders>
              <w:top w:val="nil"/>
              <w:left w:val="nil"/>
              <w:bottom w:val="nil"/>
              <w:right w:val="nil"/>
            </w:tcBorders>
            <w:shd w:val="clear" w:color="auto" w:fill="auto"/>
            <w:vAlign w:val="center"/>
          </w:tcPr>
          <w:p w:rsidR="00222F36" w:rsidRDefault="000B682F">
            <w:pPr>
              <w:jc w:val="center"/>
              <w:rPr>
                <w:color w:val="000000"/>
              </w:rPr>
            </w:pPr>
            <w:r>
              <w:rPr>
                <w:color w:val="000000"/>
              </w:rPr>
              <w:t>1.43</w:t>
            </w:r>
          </w:p>
        </w:tc>
        <w:tc>
          <w:tcPr>
            <w:tcW w:w="566" w:type="dxa"/>
            <w:tcBorders>
              <w:top w:val="nil"/>
              <w:left w:val="nil"/>
              <w:bottom w:val="nil"/>
              <w:right w:val="nil"/>
            </w:tcBorders>
            <w:shd w:val="clear" w:color="auto" w:fill="auto"/>
            <w:vAlign w:val="center"/>
          </w:tcPr>
          <w:p w:rsidR="00222F36" w:rsidRDefault="000B682F">
            <w:pPr>
              <w:jc w:val="center"/>
              <w:rPr>
                <w:color w:val="000000"/>
              </w:rPr>
            </w:pPr>
            <w:r>
              <w:rPr>
                <w:color w:val="000000"/>
              </w:rPr>
              <w:t>0.10</w:t>
            </w:r>
          </w:p>
        </w:tc>
        <w:tc>
          <w:tcPr>
            <w:tcW w:w="566" w:type="dxa"/>
            <w:tcBorders>
              <w:top w:val="nil"/>
              <w:left w:val="nil"/>
              <w:bottom w:val="nil"/>
              <w:right w:val="nil"/>
            </w:tcBorders>
            <w:shd w:val="clear" w:color="auto" w:fill="auto"/>
            <w:vAlign w:val="center"/>
          </w:tcPr>
          <w:p w:rsidR="00222F36" w:rsidRDefault="000B682F">
            <w:pPr>
              <w:jc w:val="center"/>
              <w:rPr>
                <w:color w:val="000000"/>
              </w:rPr>
            </w:pPr>
            <w:r>
              <w:rPr>
                <w:color w:val="000000"/>
              </w:rPr>
              <w:t>0.08</w:t>
            </w:r>
          </w:p>
        </w:tc>
        <w:tc>
          <w:tcPr>
            <w:tcW w:w="626" w:type="dxa"/>
            <w:tcBorders>
              <w:top w:val="nil"/>
              <w:left w:val="nil"/>
              <w:bottom w:val="nil"/>
              <w:right w:val="nil"/>
            </w:tcBorders>
            <w:shd w:val="clear" w:color="auto" w:fill="auto"/>
            <w:vAlign w:val="center"/>
          </w:tcPr>
          <w:p w:rsidR="00222F36" w:rsidRDefault="000B682F">
            <w:pPr>
              <w:jc w:val="center"/>
              <w:rPr>
                <w:color w:val="000000"/>
              </w:rPr>
            </w:pPr>
            <w:r>
              <w:rPr>
                <w:color w:val="000000"/>
              </w:rPr>
              <w:t>0.07</w:t>
            </w:r>
          </w:p>
        </w:tc>
        <w:tc>
          <w:tcPr>
            <w:tcW w:w="616" w:type="dxa"/>
            <w:tcBorders>
              <w:top w:val="nil"/>
              <w:left w:val="nil"/>
              <w:bottom w:val="nil"/>
              <w:right w:val="nil"/>
            </w:tcBorders>
            <w:shd w:val="clear" w:color="auto" w:fill="auto"/>
            <w:vAlign w:val="center"/>
          </w:tcPr>
          <w:p w:rsidR="00222F36" w:rsidRDefault="000B682F">
            <w:pPr>
              <w:jc w:val="center"/>
              <w:rPr>
                <w:color w:val="000000"/>
              </w:rPr>
            </w:pPr>
            <w:r>
              <w:rPr>
                <w:color w:val="000000"/>
              </w:rPr>
              <w:t>1.93</w:t>
            </w:r>
          </w:p>
        </w:tc>
        <w:tc>
          <w:tcPr>
            <w:tcW w:w="566" w:type="dxa"/>
            <w:tcBorders>
              <w:top w:val="nil"/>
              <w:left w:val="nil"/>
              <w:bottom w:val="nil"/>
              <w:right w:val="nil"/>
            </w:tcBorders>
            <w:shd w:val="clear" w:color="auto" w:fill="auto"/>
            <w:vAlign w:val="center"/>
          </w:tcPr>
          <w:p w:rsidR="00222F36" w:rsidRDefault="000B682F">
            <w:pPr>
              <w:jc w:val="center"/>
              <w:rPr>
                <w:color w:val="000000"/>
              </w:rPr>
            </w:pPr>
            <w:r>
              <w:rPr>
                <w:color w:val="000000"/>
              </w:rPr>
              <w:t>4.17</w:t>
            </w:r>
          </w:p>
        </w:tc>
        <w:tc>
          <w:tcPr>
            <w:tcW w:w="803" w:type="dxa"/>
            <w:tcBorders>
              <w:top w:val="nil"/>
              <w:left w:val="nil"/>
              <w:bottom w:val="nil"/>
              <w:right w:val="nil"/>
            </w:tcBorders>
            <w:shd w:val="clear" w:color="auto" w:fill="auto"/>
            <w:vAlign w:val="center"/>
          </w:tcPr>
          <w:p w:rsidR="00222F36" w:rsidRDefault="000B682F">
            <w:pPr>
              <w:jc w:val="center"/>
              <w:rPr>
                <w:color w:val="000000"/>
              </w:rPr>
            </w:pPr>
            <w:r>
              <w:rPr>
                <w:color w:val="000000"/>
              </w:rPr>
              <w:t>0.11</w:t>
            </w:r>
          </w:p>
        </w:tc>
        <w:tc>
          <w:tcPr>
            <w:tcW w:w="981" w:type="dxa"/>
            <w:tcBorders>
              <w:top w:val="nil"/>
              <w:left w:val="nil"/>
              <w:bottom w:val="nil"/>
              <w:right w:val="nil"/>
            </w:tcBorders>
            <w:shd w:val="clear" w:color="auto" w:fill="auto"/>
            <w:vAlign w:val="center"/>
          </w:tcPr>
          <w:p w:rsidR="00222F36" w:rsidRDefault="000B682F">
            <w:pPr>
              <w:jc w:val="center"/>
              <w:rPr>
                <w:color w:val="000000"/>
              </w:rPr>
            </w:pPr>
            <w:r>
              <w:rPr>
                <w:color w:val="000000"/>
              </w:rPr>
              <w:t>58.03</w:t>
            </w:r>
          </w:p>
        </w:tc>
      </w:tr>
      <w:tr w:rsidR="00222F36">
        <w:trPr>
          <w:trHeight w:val="300"/>
          <w:jc w:val="center"/>
        </w:trPr>
        <w:tc>
          <w:tcPr>
            <w:tcW w:w="739" w:type="dxa"/>
            <w:tcBorders>
              <w:top w:val="nil"/>
              <w:left w:val="nil"/>
              <w:bottom w:val="nil"/>
              <w:right w:val="nil"/>
            </w:tcBorders>
            <w:shd w:val="clear" w:color="auto" w:fill="auto"/>
            <w:vAlign w:val="center"/>
          </w:tcPr>
          <w:p w:rsidR="00222F36" w:rsidRDefault="000B682F">
            <w:pPr>
              <w:jc w:val="center"/>
              <w:rPr>
                <w:color w:val="000000"/>
              </w:rPr>
            </w:pPr>
            <w:r>
              <w:rPr>
                <w:color w:val="000000"/>
              </w:rPr>
              <w:t>4</w:t>
            </w:r>
          </w:p>
        </w:tc>
        <w:tc>
          <w:tcPr>
            <w:tcW w:w="666" w:type="dxa"/>
            <w:tcBorders>
              <w:top w:val="nil"/>
              <w:left w:val="nil"/>
              <w:bottom w:val="nil"/>
              <w:right w:val="nil"/>
            </w:tcBorders>
            <w:shd w:val="clear" w:color="auto" w:fill="auto"/>
            <w:vAlign w:val="center"/>
          </w:tcPr>
          <w:p w:rsidR="00222F36" w:rsidRDefault="000B682F">
            <w:pPr>
              <w:jc w:val="center"/>
              <w:rPr>
                <w:color w:val="000000"/>
              </w:rPr>
            </w:pPr>
            <w:r>
              <w:rPr>
                <w:color w:val="000000"/>
              </w:rPr>
              <w:t>4.69</w:t>
            </w:r>
          </w:p>
        </w:tc>
        <w:tc>
          <w:tcPr>
            <w:tcW w:w="694" w:type="dxa"/>
            <w:tcBorders>
              <w:top w:val="nil"/>
              <w:left w:val="nil"/>
              <w:bottom w:val="nil"/>
              <w:right w:val="nil"/>
            </w:tcBorders>
            <w:shd w:val="clear" w:color="auto" w:fill="auto"/>
            <w:vAlign w:val="center"/>
          </w:tcPr>
          <w:p w:rsidR="00222F36" w:rsidRDefault="000B682F">
            <w:pPr>
              <w:jc w:val="center"/>
              <w:rPr>
                <w:color w:val="000000"/>
              </w:rPr>
            </w:pPr>
            <w:r>
              <w:rPr>
                <w:color w:val="000000"/>
              </w:rPr>
              <w:t>0.61</w:t>
            </w:r>
          </w:p>
        </w:tc>
        <w:tc>
          <w:tcPr>
            <w:tcW w:w="650" w:type="dxa"/>
            <w:tcBorders>
              <w:top w:val="nil"/>
              <w:left w:val="nil"/>
              <w:bottom w:val="nil"/>
              <w:right w:val="nil"/>
            </w:tcBorders>
            <w:shd w:val="clear" w:color="auto" w:fill="auto"/>
            <w:vAlign w:val="center"/>
          </w:tcPr>
          <w:p w:rsidR="00222F36" w:rsidRDefault="000B682F">
            <w:pPr>
              <w:jc w:val="center"/>
              <w:rPr>
                <w:color w:val="000000"/>
              </w:rPr>
            </w:pPr>
            <w:r>
              <w:rPr>
                <w:color w:val="000000"/>
              </w:rPr>
              <w:t>2.52</w:t>
            </w:r>
          </w:p>
        </w:tc>
        <w:tc>
          <w:tcPr>
            <w:tcW w:w="566" w:type="dxa"/>
            <w:tcBorders>
              <w:top w:val="nil"/>
              <w:left w:val="nil"/>
              <w:bottom w:val="nil"/>
              <w:right w:val="nil"/>
            </w:tcBorders>
            <w:shd w:val="clear" w:color="auto" w:fill="auto"/>
            <w:vAlign w:val="center"/>
          </w:tcPr>
          <w:p w:rsidR="00222F36" w:rsidRDefault="000B682F">
            <w:pPr>
              <w:jc w:val="center"/>
              <w:rPr>
                <w:color w:val="000000"/>
              </w:rPr>
            </w:pPr>
            <w:r>
              <w:rPr>
                <w:color w:val="000000"/>
              </w:rPr>
              <w:t>0.22</w:t>
            </w:r>
          </w:p>
        </w:tc>
        <w:tc>
          <w:tcPr>
            <w:tcW w:w="566" w:type="dxa"/>
            <w:tcBorders>
              <w:top w:val="nil"/>
              <w:left w:val="nil"/>
              <w:bottom w:val="nil"/>
              <w:right w:val="nil"/>
            </w:tcBorders>
            <w:shd w:val="clear" w:color="auto" w:fill="auto"/>
            <w:vAlign w:val="center"/>
          </w:tcPr>
          <w:p w:rsidR="00222F36" w:rsidRDefault="000B682F">
            <w:pPr>
              <w:jc w:val="center"/>
              <w:rPr>
                <w:color w:val="000000"/>
              </w:rPr>
            </w:pPr>
            <w:r>
              <w:rPr>
                <w:color w:val="000000"/>
              </w:rPr>
              <w:t>0.07</w:t>
            </w:r>
          </w:p>
        </w:tc>
        <w:tc>
          <w:tcPr>
            <w:tcW w:w="626" w:type="dxa"/>
            <w:tcBorders>
              <w:top w:val="nil"/>
              <w:left w:val="nil"/>
              <w:bottom w:val="nil"/>
              <w:right w:val="nil"/>
            </w:tcBorders>
            <w:shd w:val="clear" w:color="auto" w:fill="auto"/>
            <w:vAlign w:val="center"/>
          </w:tcPr>
          <w:p w:rsidR="00222F36" w:rsidRDefault="000B682F">
            <w:pPr>
              <w:jc w:val="center"/>
              <w:rPr>
                <w:color w:val="000000"/>
              </w:rPr>
            </w:pPr>
            <w:r>
              <w:rPr>
                <w:color w:val="000000"/>
              </w:rPr>
              <w:t>0.06</w:t>
            </w:r>
          </w:p>
        </w:tc>
        <w:tc>
          <w:tcPr>
            <w:tcW w:w="616" w:type="dxa"/>
            <w:tcBorders>
              <w:top w:val="nil"/>
              <w:left w:val="nil"/>
              <w:bottom w:val="nil"/>
              <w:right w:val="nil"/>
            </w:tcBorders>
            <w:shd w:val="clear" w:color="auto" w:fill="auto"/>
            <w:vAlign w:val="center"/>
          </w:tcPr>
          <w:p w:rsidR="00222F36" w:rsidRDefault="000B682F">
            <w:pPr>
              <w:jc w:val="center"/>
              <w:rPr>
                <w:color w:val="000000"/>
              </w:rPr>
            </w:pPr>
            <w:r>
              <w:rPr>
                <w:color w:val="000000"/>
              </w:rPr>
              <w:t>4.12</w:t>
            </w:r>
          </w:p>
        </w:tc>
        <w:tc>
          <w:tcPr>
            <w:tcW w:w="566" w:type="dxa"/>
            <w:tcBorders>
              <w:top w:val="nil"/>
              <w:left w:val="nil"/>
              <w:bottom w:val="nil"/>
              <w:right w:val="nil"/>
            </w:tcBorders>
            <w:shd w:val="clear" w:color="auto" w:fill="auto"/>
            <w:vAlign w:val="center"/>
          </w:tcPr>
          <w:p w:rsidR="00222F36" w:rsidRDefault="000B682F">
            <w:pPr>
              <w:jc w:val="center"/>
              <w:rPr>
                <w:color w:val="000000"/>
              </w:rPr>
            </w:pPr>
            <w:r>
              <w:rPr>
                <w:color w:val="000000"/>
              </w:rPr>
              <w:t>5.77</w:t>
            </w:r>
          </w:p>
        </w:tc>
        <w:tc>
          <w:tcPr>
            <w:tcW w:w="803" w:type="dxa"/>
            <w:tcBorders>
              <w:top w:val="nil"/>
              <w:left w:val="nil"/>
              <w:bottom w:val="nil"/>
              <w:right w:val="nil"/>
            </w:tcBorders>
            <w:shd w:val="clear" w:color="auto" w:fill="auto"/>
            <w:vAlign w:val="center"/>
          </w:tcPr>
          <w:p w:rsidR="00222F36" w:rsidRDefault="000B682F">
            <w:pPr>
              <w:jc w:val="center"/>
              <w:rPr>
                <w:color w:val="000000"/>
              </w:rPr>
            </w:pPr>
            <w:r>
              <w:rPr>
                <w:color w:val="000000"/>
              </w:rPr>
              <w:t>0.21</w:t>
            </w:r>
          </w:p>
        </w:tc>
        <w:tc>
          <w:tcPr>
            <w:tcW w:w="981" w:type="dxa"/>
            <w:tcBorders>
              <w:top w:val="nil"/>
              <w:left w:val="nil"/>
              <w:bottom w:val="nil"/>
              <w:right w:val="nil"/>
            </w:tcBorders>
            <w:shd w:val="clear" w:color="auto" w:fill="auto"/>
            <w:vAlign w:val="center"/>
          </w:tcPr>
          <w:p w:rsidR="00222F36" w:rsidRDefault="000B682F">
            <w:pPr>
              <w:jc w:val="center"/>
              <w:rPr>
                <w:color w:val="000000"/>
              </w:rPr>
            </w:pPr>
            <w:r>
              <w:rPr>
                <w:color w:val="000000"/>
              </w:rPr>
              <w:t>55.61</w:t>
            </w:r>
          </w:p>
        </w:tc>
      </w:tr>
      <w:tr w:rsidR="00222F36">
        <w:trPr>
          <w:trHeight w:val="300"/>
          <w:jc w:val="center"/>
        </w:trPr>
        <w:tc>
          <w:tcPr>
            <w:tcW w:w="739" w:type="dxa"/>
            <w:tcBorders>
              <w:top w:val="nil"/>
              <w:left w:val="nil"/>
              <w:bottom w:val="nil"/>
              <w:right w:val="nil"/>
            </w:tcBorders>
            <w:shd w:val="clear" w:color="auto" w:fill="auto"/>
            <w:vAlign w:val="center"/>
          </w:tcPr>
          <w:p w:rsidR="00222F36" w:rsidRDefault="000B682F">
            <w:pPr>
              <w:jc w:val="center"/>
              <w:rPr>
                <w:color w:val="000000"/>
              </w:rPr>
            </w:pPr>
            <w:r>
              <w:rPr>
                <w:color w:val="000000"/>
              </w:rPr>
              <w:t>5</w:t>
            </w:r>
          </w:p>
        </w:tc>
        <w:tc>
          <w:tcPr>
            <w:tcW w:w="666" w:type="dxa"/>
            <w:tcBorders>
              <w:top w:val="nil"/>
              <w:left w:val="nil"/>
              <w:bottom w:val="nil"/>
              <w:right w:val="nil"/>
            </w:tcBorders>
            <w:shd w:val="clear" w:color="auto" w:fill="auto"/>
            <w:vAlign w:val="center"/>
          </w:tcPr>
          <w:p w:rsidR="00222F36" w:rsidRDefault="000B682F">
            <w:pPr>
              <w:jc w:val="center"/>
              <w:rPr>
                <w:color w:val="000000"/>
              </w:rPr>
            </w:pPr>
            <w:r>
              <w:rPr>
                <w:color w:val="000000"/>
              </w:rPr>
              <w:t>6.74</w:t>
            </w:r>
          </w:p>
        </w:tc>
        <w:tc>
          <w:tcPr>
            <w:tcW w:w="694" w:type="dxa"/>
            <w:tcBorders>
              <w:top w:val="nil"/>
              <w:left w:val="nil"/>
              <w:bottom w:val="nil"/>
              <w:right w:val="nil"/>
            </w:tcBorders>
            <w:shd w:val="clear" w:color="auto" w:fill="auto"/>
            <w:vAlign w:val="center"/>
          </w:tcPr>
          <w:p w:rsidR="00222F36" w:rsidRDefault="000B682F">
            <w:pPr>
              <w:jc w:val="center"/>
              <w:rPr>
                <w:color w:val="000000"/>
              </w:rPr>
            </w:pPr>
            <w:r>
              <w:rPr>
                <w:color w:val="000000"/>
              </w:rPr>
              <w:t>1.09</w:t>
            </w:r>
          </w:p>
        </w:tc>
        <w:tc>
          <w:tcPr>
            <w:tcW w:w="650" w:type="dxa"/>
            <w:tcBorders>
              <w:top w:val="nil"/>
              <w:left w:val="nil"/>
              <w:bottom w:val="nil"/>
              <w:right w:val="nil"/>
            </w:tcBorders>
            <w:shd w:val="clear" w:color="auto" w:fill="auto"/>
            <w:vAlign w:val="center"/>
          </w:tcPr>
          <w:p w:rsidR="00222F36" w:rsidRDefault="000B682F">
            <w:pPr>
              <w:jc w:val="center"/>
              <w:rPr>
                <w:color w:val="000000"/>
              </w:rPr>
            </w:pPr>
            <w:r>
              <w:rPr>
                <w:color w:val="000000"/>
              </w:rPr>
              <w:t>3.21</w:t>
            </w:r>
          </w:p>
        </w:tc>
        <w:tc>
          <w:tcPr>
            <w:tcW w:w="566" w:type="dxa"/>
            <w:tcBorders>
              <w:top w:val="nil"/>
              <w:left w:val="nil"/>
              <w:bottom w:val="nil"/>
              <w:right w:val="nil"/>
            </w:tcBorders>
            <w:shd w:val="clear" w:color="auto" w:fill="auto"/>
            <w:vAlign w:val="center"/>
          </w:tcPr>
          <w:p w:rsidR="00222F36" w:rsidRDefault="000B682F">
            <w:pPr>
              <w:jc w:val="center"/>
              <w:rPr>
                <w:color w:val="000000"/>
              </w:rPr>
            </w:pPr>
            <w:r>
              <w:rPr>
                <w:color w:val="000000"/>
              </w:rPr>
              <w:t>0.27</w:t>
            </w:r>
          </w:p>
        </w:tc>
        <w:tc>
          <w:tcPr>
            <w:tcW w:w="566" w:type="dxa"/>
            <w:tcBorders>
              <w:top w:val="nil"/>
              <w:left w:val="nil"/>
              <w:bottom w:val="nil"/>
              <w:right w:val="nil"/>
            </w:tcBorders>
            <w:shd w:val="clear" w:color="auto" w:fill="auto"/>
            <w:vAlign w:val="center"/>
          </w:tcPr>
          <w:p w:rsidR="00222F36" w:rsidRDefault="000B682F">
            <w:pPr>
              <w:jc w:val="center"/>
              <w:rPr>
                <w:color w:val="000000"/>
              </w:rPr>
            </w:pPr>
            <w:r>
              <w:rPr>
                <w:color w:val="000000"/>
              </w:rPr>
              <w:t>0.05</w:t>
            </w:r>
          </w:p>
        </w:tc>
        <w:tc>
          <w:tcPr>
            <w:tcW w:w="626" w:type="dxa"/>
            <w:tcBorders>
              <w:top w:val="nil"/>
              <w:left w:val="nil"/>
              <w:bottom w:val="nil"/>
              <w:right w:val="nil"/>
            </w:tcBorders>
            <w:shd w:val="clear" w:color="auto" w:fill="auto"/>
            <w:vAlign w:val="center"/>
          </w:tcPr>
          <w:p w:rsidR="00222F36" w:rsidRDefault="000B682F">
            <w:pPr>
              <w:jc w:val="center"/>
              <w:rPr>
                <w:color w:val="000000"/>
              </w:rPr>
            </w:pPr>
            <w:r>
              <w:rPr>
                <w:color w:val="000000"/>
              </w:rPr>
              <w:t>0.05</w:t>
            </w:r>
          </w:p>
        </w:tc>
        <w:tc>
          <w:tcPr>
            <w:tcW w:w="616" w:type="dxa"/>
            <w:tcBorders>
              <w:top w:val="nil"/>
              <w:left w:val="nil"/>
              <w:bottom w:val="nil"/>
              <w:right w:val="nil"/>
            </w:tcBorders>
            <w:shd w:val="clear" w:color="auto" w:fill="auto"/>
            <w:vAlign w:val="center"/>
          </w:tcPr>
          <w:p w:rsidR="00222F36" w:rsidRDefault="000B682F">
            <w:pPr>
              <w:jc w:val="center"/>
              <w:rPr>
                <w:color w:val="000000"/>
              </w:rPr>
            </w:pPr>
            <w:r>
              <w:rPr>
                <w:color w:val="000000"/>
              </w:rPr>
              <w:t>5.59</w:t>
            </w:r>
          </w:p>
        </w:tc>
        <w:tc>
          <w:tcPr>
            <w:tcW w:w="566" w:type="dxa"/>
            <w:tcBorders>
              <w:top w:val="nil"/>
              <w:left w:val="nil"/>
              <w:bottom w:val="nil"/>
              <w:right w:val="nil"/>
            </w:tcBorders>
            <w:shd w:val="clear" w:color="auto" w:fill="auto"/>
            <w:vAlign w:val="center"/>
          </w:tcPr>
          <w:p w:rsidR="00222F36" w:rsidRDefault="000B682F">
            <w:pPr>
              <w:jc w:val="center"/>
              <w:rPr>
                <w:color w:val="000000"/>
              </w:rPr>
            </w:pPr>
            <w:r>
              <w:rPr>
                <w:color w:val="000000"/>
              </w:rPr>
              <w:t>6.81</w:t>
            </w:r>
          </w:p>
        </w:tc>
        <w:tc>
          <w:tcPr>
            <w:tcW w:w="803" w:type="dxa"/>
            <w:tcBorders>
              <w:top w:val="nil"/>
              <w:left w:val="nil"/>
              <w:bottom w:val="nil"/>
              <w:right w:val="nil"/>
            </w:tcBorders>
            <w:shd w:val="clear" w:color="auto" w:fill="auto"/>
            <w:vAlign w:val="center"/>
          </w:tcPr>
          <w:p w:rsidR="00222F36" w:rsidRDefault="000B682F">
            <w:pPr>
              <w:jc w:val="center"/>
              <w:rPr>
                <w:color w:val="000000"/>
              </w:rPr>
            </w:pPr>
            <w:r>
              <w:rPr>
                <w:color w:val="000000"/>
              </w:rPr>
              <w:t>0.20</w:t>
            </w:r>
          </w:p>
        </w:tc>
        <w:tc>
          <w:tcPr>
            <w:tcW w:w="981" w:type="dxa"/>
            <w:tcBorders>
              <w:top w:val="nil"/>
              <w:left w:val="nil"/>
              <w:bottom w:val="nil"/>
              <w:right w:val="nil"/>
            </w:tcBorders>
            <w:shd w:val="clear" w:color="auto" w:fill="auto"/>
            <w:vAlign w:val="center"/>
          </w:tcPr>
          <w:p w:rsidR="00222F36" w:rsidRDefault="000B682F">
            <w:pPr>
              <w:jc w:val="center"/>
              <w:rPr>
                <w:color w:val="000000"/>
              </w:rPr>
            </w:pPr>
            <w:r>
              <w:rPr>
                <w:color w:val="000000"/>
              </w:rPr>
              <w:t>53.69</w:t>
            </w:r>
          </w:p>
        </w:tc>
      </w:tr>
      <w:tr w:rsidR="00222F36">
        <w:trPr>
          <w:trHeight w:val="300"/>
          <w:jc w:val="center"/>
        </w:trPr>
        <w:tc>
          <w:tcPr>
            <w:tcW w:w="739" w:type="dxa"/>
            <w:tcBorders>
              <w:top w:val="nil"/>
              <w:left w:val="nil"/>
              <w:bottom w:val="nil"/>
              <w:right w:val="nil"/>
            </w:tcBorders>
            <w:shd w:val="clear" w:color="auto" w:fill="auto"/>
            <w:vAlign w:val="center"/>
          </w:tcPr>
          <w:p w:rsidR="00222F36" w:rsidRDefault="000B682F">
            <w:pPr>
              <w:jc w:val="center"/>
              <w:rPr>
                <w:color w:val="000000"/>
              </w:rPr>
            </w:pPr>
            <w:r>
              <w:rPr>
                <w:color w:val="000000"/>
              </w:rPr>
              <w:lastRenderedPageBreak/>
              <w:t>10</w:t>
            </w:r>
          </w:p>
        </w:tc>
        <w:tc>
          <w:tcPr>
            <w:tcW w:w="666" w:type="dxa"/>
            <w:tcBorders>
              <w:top w:val="nil"/>
              <w:left w:val="nil"/>
              <w:bottom w:val="nil"/>
              <w:right w:val="nil"/>
            </w:tcBorders>
            <w:shd w:val="clear" w:color="auto" w:fill="auto"/>
            <w:vAlign w:val="center"/>
          </w:tcPr>
          <w:p w:rsidR="00222F36" w:rsidRDefault="000B682F">
            <w:pPr>
              <w:jc w:val="center"/>
              <w:rPr>
                <w:color w:val="000000"/>
              </w:rPr>
            </w:pPr>
            <w:r>
              <w:rPr>
                <w:color w:val="000000"/>
              </w:rPr>
              <w:t>13.61</w:t>
            </w:r>
          </w:p>
        </w:tc>
        <w:tc>
          <w:tcPr>
            <w:tcW w:w="694" w:type="dxa"/>
            <w:tcBorders>
              <w:top w:val="nil"/>
              <w:left w:val="nil"/>
              <w:bottom w:val="nil"/>
              <w:right w:val="nil"/>
            </w:tcBorders>
            <w:shd w:val="clear" w:color="auto" w:fill="auto"/>
            <w:vAlign w:val="center"/>
          </w:tcPr>
          <w:p w:rsidR="00222F36" w:rsidRDefault="000B682F">
            <w:pPr>
              <w:jc w:val="center"/>
              <w:rPr>
                <w:color w:val="000000"/>
              </w:rPr>
            </w:pPr>
            <w:r>
              <w:rPr>
                <w:color w:val="000000"/>
              </w:rPr>
              <w:t>1.47</w:t>
            </w:r>
          </w:p>
        </w:tc>
        <w:tc>
          <w:tcPr>
            <w:tcW w:w="650" w:type="dxa"/>
            <w:tcBorders>
              <w:top w:val="nil"/>
              <w:left w:val="nil"/>
              <w:bottom w:val="nil"/>
              <w:right w:val="nil"/>
            </w:tcBorders>
            <w:shd w:val="clear" w:color="auto" w:fill="auto"/>
            <w:vAlign w:val="center"/>
          </w:tcPr>
          <w:p w:rsidR="00222F36" w:rsidRDefault="000B682F">
            <w:pPr>
              <w:jc w:val="center"/>
              <w:rPr>
                <w:color w:val="000000"/>
              </w:rPr>
            </w:pPr>
            <w:r>
              <w:rPr>
                <w:color w:val="000000"/>
              </w:rPr>
              <w:t>3.13</w:t>
            </w:r>
          </w:p>
        </w:tc>
        <w:tc>
          <w:tcPr>
            <w:tcW w:w="566" w:type="dxa"/>
            <w:tcBorders>
              <w:top w:val="nil"/>
              <w:left w:val="nil"/>
              <w:bottom w:val="nil"/>
              <w:right w:val="nil"/>
            </w:tcBorders>
            <w:shd w:val="clear" w:color="auto" w:fill="auto"/>
            <w:vAlign w:val="center"/>
          </w:tcPr>
          <w:p w:rsidR="00222F36" w:rsidRDefault="000B682F">
            <w:pPr>
              <w:jc w:val="center"/>
              <w:rPr>
                <w:color w:val="000000"/>
              </w:rPr>
            </w:pPr>
            <w:r>
              <w:rPr>
                <w:color w:val="000000"/>
              </w:rPr>
              <w:t>0.28</w:t>
            </w:r>
          </w:p>
        </w:tc>
        <w:tc>
          <w:tcPr>
            <w:tcW w:w="566" w:type="dxa"/>
            <w:tcBorders>
              <w:top w:val="nil"/>
              <w:left w:val="nil"/>
              <w:bottom w:val="nil"/>
              <w:right w:val="nil"/>
            </w:tcBorders>
            <w:shd w:val="clear" w:color="auto" w:fill="auto"/>
            <w:vAlign w:val="center"/>
          </w:tcPr>
          <w:p w:rsidR="00222F36" w:rsidRDefault="000B682F">
            <w:pPr>
              <w:jc w:val="center"/>
              <w:rPr>
                <w:color w:val="000000"/>
              </w:rPr>
            </w:pPr>
            <w:r>
              <w:rPr>
                <w:color w:val="000000"/>
              </w:rPr>
              <w:t>0.09</w:t>
            </w:r>
          </w:p>
        </w:tc>
        <w:tc>
          <w:tcPr>
            <w:tcW w:w="626" w:type="dxa"/>
            <w:tcBorders>
              <w:top w:val="nil"/>
              <w:left w:val="nil"/>
              <w:bottom w:val="nil"/>
              <w:right w:val="nil"/>
            </w:tcBorders>
            <w:shd w:val="clear" w:color="auto" w:fill="auto"/>
            <w:vAlign w:val="center"/>
          </w:tcPr>
          <w:p w:rsidR="00222F36" w:rsidRDefault="000B682F">
            <w:pPr>
              <w:jc w:val="center"/>
              <w:rPr>
                <w:color w:val="000000"/>
              </w:rPr>
            </w:pPr>
            <w:r>
              <w:rPr>
                <w:color w:val="000000"/>
              </w:rPr>
              <w:t>0.13</w:t>
            </w:r>
          </w:p>
        </w:tc>
        <w:tc>
          <w:tcPr>
            <w:tcW w:w="616" w:type="dxa"/>
            <w:tcBorders>
              <w:top w:val="nil"/>
              <w:left w:val="nil"/>
              <w:bottom w:val="nil"/>
              <w:right w:val="nil"/>
            </w:tcBorders>
            <w:shd w:val="clear" w:color="auto" w:fill="auto"/>
            <w:vAlign w:val="center"/>
          </w:tcPr>
          <w:p w:rsidR="00222F36" w:rsidRDefault="000B682F">
            <w:pPr>
              <w:jc w:val="center"/>
              <w:rPr>
                <w:color w:val="000000"/>
              </w:rPr>
            </w:pPr>
            <w:r>
              <w:rPr>
                <w:color w:val="000000"/>
              </w:rPr>
              <w:t>5.10</w:t>
            </w:r>
          </w:p>
        </w:tc>
        <w:tc>
          <w:tcPr>
            <w:tcW w:w="566" w:type="dxa"/>
            <w:tcBorders>
              <w:top w:val="nil"/>
              <w:left w:val="nil"/>
              <w:bottom w:val="nil"/>
              <w:right w:val="nil"/>
            </w:tcBorders>
            <w:shd w:val="clear" w:color="auto" w:fill="auto"/>
            <w:vAlign w:val="center"/>
          </w:tcPr>
          <w:p w:rsidR="00222F36" w:rsidRDefault="000B682F">
            <w:pPr>
              <w:jc w:val="center"/>
              <w:rPr>
                <w:color w:val="000000"/>
              </w:rPr>
            </w:pPr>
            <w:r>
              <w:rPr>
                <w:color w:val="000000"/>
              </w:rPr>
              <w:t>7.02</w:t>
            </w:r>
          </w:p>
        </w:tc>
        <w:tc>
          <w:tcPr>
            <w:tcW w:w="803" w:type="dxa"/>
            <w:tcBorders>
              <w:top w:val="nil"/>
              <w:left w:val="nil"/>
              <w:bottom w:val="nil"/>
              <w:right w:val="nil"/>
            </w:tcBorders>
            <w:shd w:val="clear" w:color="auto" w:fill="auto"/>
            <w:vAlign w:val="center"/>
          </w:tcPr>
          <w:p w:rsidR="00222F36" w:rsidRDefault="000B682F">
            <w:pPr>
              <w:jc w:val="center"/>
              <w:rPr>
                <w:color w:val="000000"/>
              </w:rPr>
            </w:pPr>
            <w:r>
              <w:rPr>
                <w:color w:val="000000"/>
              </w:rPr>
              <w:t>0.16</w:t>
            </w:r>
          </w:p>
        </w:tc>
        <w:tc>
          <w:tcPr>
            <w:tcW w:w="981" w:type="dxa"/>
            <w:tcBorders>
              <w:top w:val="nil"/>
              <w:left w:val="nil"/>
              <w:bottom w:val="nil"/>
              <w:right w:val="nil"/>
            </w:tcBorders>
            <w:shd w:val="clear" w:color="auto" w:fill="auto"/>
            <w:vAlign w:val="center"/>
          </w:tcPr>
          <w:p w:rsidR="00222F36" w:rsidRDefault="000B682F">
            <w:pPr>
              <w:jc w:val="center"/>
              <w:rPr>
                <w:color w:val="000000"/>
              </w:rPr>
            </w:pPr>
            <w:r>
              <w:rPr>
                <w:color w:val="000000"/>
              </w:rPr>
              <w:t>47.64</w:t>
            </w:r>
          </w:p>
        </w:tc>
      </w:tr>
      <w:tr w:rsidR="00222F36">
        <w:trPr>
          <w:trHeight w:val="300"/>
          <w:jc w:val="center"/>
        </w:trPr>
        <w:tc>
          <w:tcPr>
            <w:tcW w:w="739" w:type="dxa"/>
            <w:tcBorders>
              <w:top w:val="nil"/>
              <w:left w:val="nil"/>
              <w:bottom w:val="nil"/>
              <w:right w:val="nil"/>
            </w:tcBorders>
            <w:shd w:val="clear" w:color="auto" w:fill="auto"/>
            <w:vAlign w:val="center"/>
          </w:tcPr>
          <w:p w:rsidR="00222F36" w:rsidRDefault="000B682F">
            <w:pPr>
              <w:jc w:val="center"/>
              <w:rPr>
                <w:color w:val="000000"/>
              </w:rPr>
            </w:pPr>
            <w:r>
              <w:rPr>
                <w:color w:val="000000"/>
              </w:rPr>
              <w:t>15</w:t>
            </w:r>
          </w:p>
        </w:tc>
        <w:tc>
          <w:tcPr>
            <w:tcW w:w="666" w:type="dxa"/>
            <w:tcBorders>
              <w:top w:val="nil"/>
              <w:left w:val="nil"/>
              <w:bottom w:val="nil"/>
              <w:right w:val="nil"/>
            </w:tcBorders>
            <w:shd w:val="clear" w:color="auto" w:fill="auto"/>
            <w:vAlign w:val="center"/>
          </w:tcPr>
          <w:p w:rsidR="00222F36" w:rsidRDefault="000B682F">
            <w:pPr>
              <w:jc w:val="center"/>
              <w:rPr>
                <w:color w:val="000000"/>
              </w:rPr>
            </w:pPr>
            <w:r>
              <w:rPr>
                <w:color w:val="000000"/>
              </w:rPr>
              <w:t>16.43</w:t>
            </w:r>
          </w:p>
        </w:tc>
        <w:tc>
          <w:tcPr>
            <w:tcW w:w="694" w:type="dxa"/>
            <w:tcBorders>
              <w:top w:val="nil"/>
              <w:left w:val="nil"/>
              <w:bottom w:val="nil"/>
              <w:right w:val="nil"/>
            </w:tcBorders>
            <w:shd w:val="clear" w:color="auto" w:fill="auto"/>
            <w:vAlign w:val="center"/>
          </w:tcPr>
          <w:p w:rsidR="00222F36" w:rsidRDefault="000B682F">
            <w:pPr>
              <w:jc w:val="center"/>
              <w:rPr>
                <w:color w:val="000000"/>
              </w:rPr>
            </w:pPr>
            <w:r>
              <w:rPr>
                <w:color w:val="000000"/>
              </w:rPr>
              <w:t>1.43</w:t>
            </w:r>
          </w:p>
        </w:tc>
        <w:tc>
          <w:tcPr>
            <w:tcW w:w="650" w:type="dxa"/>
            <w:tcBorders>
              <w:top w:val="nil"/>
              <w:left w:val="nil"/>
              <w:bottom w:val="nil"/>
              <w:right w:val="nil"/>
            </w:tcBorders>
            <w:shd w:val="clear" w:color="auto" w:fill="auto"/>
            <w:vAlign w:val="center"/>
          </w:tcPr>
          <w:p w:rsidR="00222F36" w:rsidRDefault="000B682F">
            <w:pPr>
              <w:jc w:val="center"/>
              <w:rPr>
                <w:color w:val="000000"/>
              </w:rPr>
            </w:pPr>
            <w:r>
              <w:rPr>
                <w:color w:val="000000"/>
              </w:rPr>
              <w:t>2.32</w:t>
            </w:r>
          </w:p>
        </w:tc>
        <w:tc>
          <w:tcPr>
            <w:tcW w:w="566" w:type="dxa"/>
            <w:tcBorders>
              <w:top w:val="nil"/>
              <w:left w:val="nil"/>
              <w:bottom w:val="nil"/>
              <w:right w:val="nil"/>
            </w:tcBorders>
            <w:shd w:val="clear" w:color="auto" w:fill="auto"/>
            <w:vAlign w:val="center"/>
          </w:tcPr>
          <w:p w:rsidR="00222F36" w:rsidRDefault="000B682F">
            <w:pPr>
              <w:jc w:val="center"/>
              <w:rPr>
                <w:color w:val="000000"/>
              </w:rPr>
            </w:pPr>
            <w:r>
              <w:rPr>
                <w:color w:val="000000"/>
              </w:rPr>
              <w:t>0.30</w:t>
            </w:r>
          </w:p>
        </w:tc>
        <w:tc>
          <w:tcPr>
            <w:tcW w:w="566" w:type="dxa"/>
            <w:tcBorders>
              <w:top w:val="nil"/>
              <w:left w:val="nil"/>
              <w:bottom w:val="nil"/>
              <w:right w:val="nil"/>
            </w:tcBorders>
            <w:shd w:val="clear" w:color="auto" w:fill="auto"/>
            <w:vAlign w:val="center"/>
          </w:tcPr>
          <w:p w:rsidR="00222F36" w:rsidRDefault="000B682F">
            <w:pPr>
              <w:jc w:val="center"/>
              <w:rPr>
                <w:color w:val="000000"/>
              </w:rPr>
            </w:pPr>
            <w:r>
              <w:rPr>
                <w:color w:val="000000"/>
              </w:rPr>
              <w:t>0.11</w:t>
            </w:r>
          </w:p>
        </w:tc>
        <w:tc>
          <w:tcPr>
            <w:tcW w:w="626" w:type="dxa"/>
            <w:tcBorders>
              <w:top w:val="nil"/>
              <w:left w:val="nil"/>
              <w:bottom w:val="nil"/>
              <w:right w:val="nil"/>
            </w:tcBorders>
            <w:shd w:val="clear" w:color="auto" w:fill="auto"/>
            <w:vAlign w:val="center"/>
          </w:tcPr>
          <w:p w:rsidR="00222F36" w:rsidRDefault="000B682F">
            <w:pPr>
              <w:jc w:val="center"/>
              <w:rPr>
                <w:color w:val="000000"/>
              </w:rPr>
            </w:pPr>
            <w:r>
              <w:rPr>
                <w:color w:val="000000"/>
              </w:rPr>
              <w:t>0.19</w:t>
            </w:r>
          </w:p>
        </w:tc>
        <w:tc>
          <w:tcPr>
            <w:tcW w:w="616" w:type="dxa"/>
            <w:tcBorders>
              <w:top w:val="nil"/>
              <w:left w:val="nil"/>
              <w:bottom w:val="nil"/>
              <w:right w:val="nil"/>
            </w:tcBorders>
            <w:shd w:val="clear" w:color="auto" w:fill="auto"/>
            <w:vAlign w:val="center"/>
          </w:tcPr>
          <w:p w:rsidR="00222F36" w:rsidRDefault="000B682F">
            <w:pPr>
              <w:jc w:val="center"/>
              <w:rPr>
                <w:color w:val="000000"/>
              </w:rPr>
            </w:pPr>
            <w:r>
              <w:rPr>
                <w:color w:val="000000"/>
              </w:rPr>
              <w:t>4.33</w:t>
            </w:r>
          </w:p>
        </w:tc>
        <w:tc>
          <w:tcPr>
            <w:tcW w:w="566" w:type="dxa"/>
            <w:tcBorders>
              <w:top w:val="nil"/>
              <w:left w:val="nil"/>
              <w:bottom w:val="nil"/>
              <w:right w:val="nil"/>
            </w:tcBorders>
            <w:shd w:val="clear" w:color="auto" w:fill="auto"/>
            <w:vAlign w:val="center"/>
          </w:tcPr>
          <w:p w:rsidR="00222F36" w:rsidRDefault="000B682F">
            <w:pPr>
              <w:jc w:val="center"/>
              <w:rPr>
                <w:color w:val="000000"/>
              </w:rPr>
            </w:pPr>
            <w:r>
              <w:rPr>
                <w:color w:val="000000"/>
              </w:rPr>
              <w:t>7.15</w:t>
            </w:r>
          </w:p>
        </w:tc>
        <w:tc>
          <w:tcPr>
            <w:tcW w:w="803" w:type="dxa"/>
            <w:tcBorders>
              <w:top w:val="nil"/>
              <w:left w:val="nil"/>
              <w:bottom w:val="nil"/>
              <w:right w:val="nil"/>
            </w:tcBorders>
            <w:shd w:val="clear" w:color="auto" w:fill="auto"/>
            <w:vAlign w:val="center"/>
          </w:tcPr>
          <w:p w:rsidR="00222F36" w:rsidRDefault="000B682F">
            <w:pPr>
              <w:jc w:val="center"/>
              <w:rPr>
                <w:color w:val="000000"/>
              </w:rPr>
            </w:pPr>
            <w:r>
              <w:rPr>
                <w:color w:val="000000"/>
              </w:rPr>
              <w:t>0.15</w:t>
            </w:r>
          </w:p>
        </w:tc>
        <w:tc>
          <w:tcPr>
            <w:tcW w:w="981" w:type="dxa"/>
            <w:tcBorders>
              <w:top w:val="nil"/>
              <w:left w:val="nil"/>
              <w:bottom w:val="nil"/>
              <w:right w:val="nil"/>
            </w:tcBorders>
            <w:shd w:val="clear" w:color="auto" w:fill="auto"/>
            <w:vAlign w:val="center"/>
          </w:tcPr>
          <w:p w:rsidR="00222F36" w:rsidRDefault="000B682F">
            <w:pPr>
              <w:jc w:val="center"/>
              <w:rPr>
                <w:color w:val="000000"/>
              </w:rPr>
            </w:pPr>
            <w:r>
              <w:rPr>
                <w:color w:val="000000"/>
              </w:rPr>
              <w:t>44.67</w:t>
            </w:r>
          </w:p>
        </w:tc>
      </w:tr>
      <w:tr w:rsidR="00222F36">
        <w:trPr>
          <w:trHeight w:val="300"/>
          <w:jc w:val="center"/>
        </w:trPr>
        <w:tc>
          <w:tcPr>
            <w:tcW w:w="739" w:type="dxa"/>
            <w:tcBorders>
              <w:top w:val="nil"/>
              <w:left w:val="nil"/>
              <w:bottom w:val="single" w:sz="4" w:space="0" w:color="000000"/>
              <w:right w:val="nil"/>
            </w:tcBorders>
            <w:shd w:val="clear" w:color="auto" w:fill="auto"/>
            <w:vAlign w:val="center"/>
          </w:tcPr>
          <w:p w:rsidR="00222F36" w:rsidRDefault="000B682F">
            <w:pPr>
              <w:jc w:val="center"/>
              <w:rPr>
                <w:color w:val="000000"/>
              </w:rPr>
            </w:pPr>
            <w:r>
              <w:rPr>
                <w:color w:val="000000"/>
              </w:rPr>
              <w:t>20</w:t>
            </w:r>
          </w:p>
        </w:tc>
        <w:tc>
          <w:tcPr>
            <w:tcW w:w="666" w:type="dxa"/>
            <w:tcBorders>
              <w:top w:val="nil"/>
              <w:left w:val="nil"/>
              <w:bottom w:val="single" w:sz="4" w:space="0" w:color="000000"/>
              <w:right w:val="nil"/>
            </w:tcBorders>
            <w:shd w:val="clear" w:color="auto" w:fill="auto"/>
            <w:vAlign w:val="center"/>
          </w:tcPr>
          <w:p w:rsidR="00222F36" w:rsidRDefault="000B682F">
            <w:pPr>
              <w:jc w:val="center"/>
              <w:rPr>
                <w:color w:val="000000"/>
              </w:rPr>
            </w:pPr>
            <w:r>
              <w:rPr>
                <w:color w:val="000000"/>
              </w:rPr>
              <w:t>18.20</w:t>
            </w:r>
          </w:p>
        </w:tc>
        <w:tc>
          <w:tcPr>
            <w:tcW w:w="694" w:type="dxa"/>
            <w:tcBorders>
              <w:top w:val="nil"/>
              <w:left w:val="nil"/>
              <w:bottom w:val="single" w:sz="4" w:space="0" w:color="000000"/>
              <w:right w:val="nil"/>
            </w:tcBorders>
            <w:shd w:val="clear" w:color="auto" w:fill="auto"/>
            <w:vAlign w:val="center"/>
          </w:tcPr>
          <w:p w:rsidR="00222F36" w:rsidRDefault="000B682F">
            <w:pPr>
              <w:jc w:val="center"/>
              <w:rPr>
                <w:color w:val="000000"/>
              </w:rPr>
            </w:pPr>
            <w:r>
              <w:rPr>
                <w:color w:val="000000"/>
              </w:rPr>
              <w:t>1.40</w:t>
            </w:r>
          </w:p>
        </w:tc>
        <w:tc>
          <w:tcPr>
            <w:tcW w:w="650" w:type="dxa"/>
            <w:tcBorders>
              <w:top w:val="nil"/>
              <w:left w:val="nil"/>
              <w:bottom w:val="single" w:sz="4" w:space="0" w:color="000000"/>
              <w:right w:val="nil"/>
            </w:tcBorders>
            <w:shd w:val="clear" w:color="auto" w:fill="auto"/>
            <w:vAlign w:val="center"/>
          </w:tcPr>
          <w:p w:rsidR="00222F36" w:rsidRDefault="000B682F">
            <w:pPr>
              <w:jc w:val="center"/>
              <w:rPr>
                <w:color w:val="000000"/>
              </w:rPr>
            </w:pPr>
            <w:r>
              <w:rPr>
                <w:color w:val="000000"/>
              </w:rPr>
              <w:t>1.87</w:t>
            </w:r>
          </w:p>
        </w:tc>
        <w:tc>
          <w:tcPr>
            <w:tcW w:w="566" w:type="dxa"/>
            <w:tcBorders>
              <w:top w:val="nil"/>
              <w:left w:val="nil"/>
              <w:bottom w:val="single" w:sz="4" w:space="0" w:color="000000"/>
              <w:right w:val="nil"/>
            </w:tcBorders>
            <w:shd w:val="clear" w:color="auto" w:fill="auto"/>
            <w:vAlign w:val="center"/>
          </w:tcPr>
          <w:p w:rsidR="00222F36" w:rsidRDefault="000B682F">
            <w:pPr>
              <w:jc w:val="center"/>
              <w:rPr>
                <w:color w:val="000000"/>
              </w:rPr>
            </w:pPr>
            <w:r>
              <w:rPr>
                <w:color w:val="000000"/>
              </w:rPr>
              <w:t>0.32</w:t>
            </w:r>
          </w:p>
        </w:tc>
        <w:tc>
          <w:tcPr>
            <w:tcW w:w="566" w:type="dxa"/>
            <w:tcBorders>
              <w:top w:val="nil"/>
              <w:left w:val="nil"/>
              <w:bottom w:val="single" w:sz="4" w:space="0" w:color="000000"/>
              <w:right w:val="nil"/>
            </w:tcBorders>
            <w:shd w:val="clear" w:color="auto" w:fill="auto"/>
            <w:vAlign w:val="center"/>
          </w:tcPr>
          <w:p w:rsidR="00222F36" w:rsidRDefault="000B682F">
            <w:pPr>
              <w:jc w:val="center"/>
              <w:rPr>
                <w:color w:val="000000"/>
              </w:rPr>
            </w:pPr>
            <w:r>
              <w:rPr>
                <w:color w:val="000000"/>
              </w:rPr>
              <w:t>0.12</w:t>
            </w:r>
          </w:p>
        </w:tc>
        <w:tc>
          <w:tcPr>
            <w:tcW w:w="626" w:type="dxa"/>
            <w:tcBorders>
              <w:top w:val="nil"/>
              <w:left w:val="nil"/>
              <w:bottom w:val="single" w:sz="4" w:space="0" w:color="000000"/>
              <w:right w:val="nil"/>
            </w:tcBorders>
            <w:shd w:val="clear" w:color="auto" w:fill="auto"/>
            <w:vAlign w:val="center"/>
          </w:tcPr>
          <w:p w:rsidR="00222F36" w:rsidRDefault="000B682F">
            <w:pPr>
              <w:jc w:val="center"/>
              <w:rPr>
                <w:color w:val="000000"/>
              </w:rPr>
            </w:pPr>
            <w:r>
              <w:rPr>
                <w:color w:val="000000"/>
              </w:rPr>
              <w:t>0.22</w:t>
            </w:r>
          </w:p>
        </w:tc>
        <w:tc>
          <w:tcPr>
            <w:tcW w:w="616" w:type="dxa"/>
            <w:tcBorders>
              <w:top w:val="nil"/>
              <w:left w:val="nil"/>
              <w:bottom w:val="single" w:sz="4" w:space="0" w:color="000000"/>
              <w:right w:val="nil"/>
            </w:tcBorders>
            <w:shd w:val="clear" w:color="auto" w:fill="auto"/>
            <w:vAlign w:val="center"/>
          </w:tcPr>
          <w:p w:rsidR="00222F36" w:rsidRDefault="000B682F">
            <w:pPr>
              <w:jc w:val="center"/>
              <w:rPr>
                <w:color w:val="000000"/>
              </w:rPr>
            </w:pPr>
            <w:r>
              <w:rPr>
                <w:color w:val="000000"/>
              </w:rPr>
              <w:t>3.90</w:t>
            </w:r>
          </w:p>
        </w:tc>
        <w:tc>
          <w:tcPr>
            <w:tcW w:w="566" w:type="dxa"/>
            <w:tcBorders>
              <w:top w:val="nil"/>
              <w:left w:val="nil"/>
              <w:bottom w:val="single" w:sz="4" w:space="0" w:color="000000"/>
              <w:right w:val="nil"/>
            </w:tcBorders>
            <w:shd w:val="clear" w:color="auto" w:fill="auto"/>
            <w:vAlign w:val="center"/>
          </w:tcPr>
          <w:p w:rsidR="00222F36" w:rsidRDefault="000B682F">
            <w:pPr>
              <w:jc w:val="center"/>
              <w:rPr>
                <w:color w:val="000000"/>
              </w:rPr>
            </w:pPr>
            <w:r>
              <w:rPr>
                <w:color w:val="000000"/>
              </w:rPr>
              <w:t>7.02</w:t>
            </w:r>
          </w:p>
        </w:tc>
        <w:tc>
          <w:tcPr>
            <w:tcW w:w="803" w:type="dxa"/>
            <w:tcBorders>
              <w:top w:val="nil"/>
              <w:left w:val="nil"/>
              <w:bottom w:val="single" w:sz="4" w:space="0" w:color="000000"/>
              <w:right w:val="nil"/>
            </w:tcBorders>
            <w:shd w:val="clear" w:color="auto" w:fill="auto"/>
            <w:vAlign w:val="center"/>
          </w:tcPr>
          <w:p w:rsidR="00222F36" w:rsidRDefault="000B682F">
            <w:pPr>
              <w:jc w:val="center"/>
              <w:rPr>
                <w:color w:val="000000"/>
              </w:rPr>
            </w:pPr>
            <w:r>
              <w:rPr>
                <w:color w:val="000000"/>
              </w:rPr>
              <w:t>0.13</w:t>
            </w:r>
          </w:p>
        </w:tc>
        <w:tc>
          <w:tcPr>
            <w:tcW w:w="981" w:type="dxa"/>
            <w:tcBorders>
              <w:top w:val="nil"/>
              <w:left w:val="nil"/>
              <w:bottom w:val="single" w:sz="4" w:space="0" w:color="000000"/>
              <w:right w:val="nil"/>
            </w:tcBorders>
            <w:shd w:val="clear" w:color="auto" w:fill="auto"/>
            <w:vAlign w:val="center"/>
          </w:tcPr>
          <w:p w:rsidR="00222F36" w:rsidRDefault="000B682F">
            <w:pPr>
              <w:jc w:val="center"/>
              <w:rPr>
                <w:color w:val="000000"/>
              </w:rPr>
            </w:pPr>
            <w:r>
              <w:rPr>
                <w:color w:val="000000"/>
              </w:rPr>
              <w:t>42.82</w:t>
            </w:r>
          </w:p>
        </w:tc>
      </w:tr>
      <w:tr w:rsidR="00222F36">
        <w:trPr>
          <w:trHeight w:val="300"/>
          <w:jc w:val="center"/>
        </w:trPr>
        <w:tc>
          <w:tcPr>
            <w:tcW w:w="7473" w:type="dxa"/>
            <w:gridSpan w:val="11"/>
            <w:tcBorders>
              <w:top w:val="single" w:sz="4" w:space="0" w:color="000000"/>
              <w:left w:val="nil"/>
              <w:bottom w:val="nil"/>
              <w:right w:val="nil"/>
            </w:tcBorders>
            <w:vAlign w:val="center"/>
          </w:tcPr>
          <w:p w:rsidR="00222F36" w:rsidRDefault="000B682F">
            <w:pPr>
              <w:jc w:val="left"/>
            </w:pPr>
            <w:r>
              <w:rPr>
                <w:color w:val="000000"/>
              </w:rPr>
              <w:t>Notes: Numbers reported are in percentages. Lowercase variables are in logarithms.</w:t>
            </w:r>
          </w:p>
        </w:tc>
      </w:tr>
    </w:tbl>
    <w:p w:rsidR="00222F36" w:rsidRDefault="00222F36">
      <w:pPr>
        <w:rPr>
          <w:b/>
        </w:rPr>
      </w:pPr>
    </w:p>
    <w:p w:rsidR="00222F36" w:rsidRDefault="000B682F">
      <w:pPr>
        <w:jc w:val="center"/>
        <w:rPr>
          <w:b/>
        </w:rPr>
      </w:pPr>
      <w:r>
        <w:rPr>
          <w:b/>
        </w:rPr>
        <w:t>Table A9: FEVD of a shock to LM-based Sentiment for Model with WSJ based sentiment (LM and A/A)</w:t>
      </w:r>
    </w:p>
    <w:tbl>
      <w:tblPr>
        <w:tblStyle w:val="ab"/>
        <w:tblW w:w="7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
        <w:gridCol w:w="566"/>
        <w:gridCol w:w="694"/>
        <w:gridCol w:w="666"/>
        <w:gridCol w:w="566"/>
        <w:gridCol w:w="566"/>
        <w:gridCol w:w="626"/>
        <w:gridCol w:w="616"/>
        <w:gridCol w:w="566"/>
        <w:gridCol w:w="959"/>
        <w:gridCol w:w="981"/>
      </w:tblGrid>
      <w:tr w:rsidR="00222F36">
        <w:trPr>
          <w:trHeight w:val="300"/>
          <w:jc w:val="center"/>
        </w:trPr>
        <w:tc>
          <w:tcPr>
            <w:tcW w:w="739" w:type="dxa"/>
            <w:vAlign w:val="center"/>
          </w:tcPr>
          <w:p w:rsidR="00222F36" w:rsidRDefault="000B682F">
            <w:pPr>
              <w:spacing w:line="240" w:lineRule="auto"/>
              <w:jc w:val="center"/>
              <w:rPr>
                <w:color w:val="000000"/>
              </w:rPr>
            </w:pPr>
            <w:r>
              <w:rPr>
                <w:color w:val="000000"/>
              </w:rPr>
              <w:t>Period</w:t>
            </w:r>
          </w:p>
        </w:tc>
        <w:tc>
          <w:tcPr>
            <w:tcW w:w="566" w:type="dxa"/>
            <w:vAlign w:val="center"/>
          </w:tcPr>
          <w:p w:rsidR="00222F36" w:rsidRDefault="000B682F">
            <w:pPr>
              <w:spacing w:line="240" w:lineRule="auto"/>
              <w:jc w:val="center"/>
              <w:rPr>
                <w:i/>
                <w:color w:val="000000"/>
              </w:rPr>
            </w:pPr>
            <w:r>
              <w:rPr>
                <w:i/>
                <w:color w:val="000000"/>
              </w:rPr>
              <w:t>ip</w:t>
            </w:r>
          </w:p>
        </w:tc>
        <w:tc>
          <w:tcPr>
            <w:tcW w:w="694" w:type="dxa"/>
            <w:vAlign w:val="center"/>
          </w:tcPr>
          <w:p w:rsidR="00222F36" w:rsidRDefault="000B682F">
            <w:pPr>
              <w:spacing w:line="240" w:lineRule="auto"/>
              <w:jc w:val="center"/>
              <w:rPr>
                <w:i/>
                <w:color w:val="000000"/>
              </w:rPr>
            </w:pPr>
            <w:r>
              <w:rPr>
                <w:i/>
                <w:color w:val="000000"/>
              </w:rPr>
              <w:t>sp500</w:t>
            </w:r>
          </w:p>
        </w:tc>
        <w:tc>
          <w:tcPr>
            <w:tcW w:w="666" w:type="dxa"/>
            <w:vAlign w:val="center"/>
          </w:tcPr>
          <w:p w:rsidR="00222F36" w:rsidRDefault="000B682F">
            <w:pPr>
              <w:spacing w:line="240" w:lineRule="auto"/>
              <w:jc w:val="center"/>
              <w:rPr>
                <w:i/>
                <w:color w:val="000000"/>
              </w:rPr>
            </w:pPr>
            <w:r>
              <w:rPr>
                <w:i/>
                <w:color w:val="000000"/>
              </w:rPr>
              <w:t>loans</w:t>
            </w:r>
          </w:p>
        </w:tc>
        <w:tc>
          <w:tcPr>
            <w:tcW w:w="566" w:type="dxa"/>
            <w:vAlign w:val="center"/>
          </w:tcPr>
          <w:p w:rsidR="00222F36" w:rsidRDefault="000B682F">
            <w:pPr>
              <w:spacing w:line="240" w:lineRule="auto"/>
              <w:jc w:val="center"/>
              <w:rPr>
                <w:i/>
                <w:color w:val="000000"/>
              </w:rPr>
            </w:pPr>
            <w:r>
              <w:rPr>
                <w:i/>
                <w:color w:val="000000"/>
              </w:rPr>
              <w:t>p</w:t>
            </w:r>
          </w:p>
        </w:tc>
        <w:tc>
          <w:tcPr>
            <w:tcW w:w="566" w:type="dxa"/>
            <w:vAlign w:val="center"/>
          </w:tcPr>
          <w:p w:rsidR="00222F36" w:rsidRDefault="000B682F">
            <w:pPr>
              <w:spacing w:line="240" w:lineRule="auto"/>
              <w:jc w:val="center"/>
              <w:rPr>
                <w:color w:val="000000"/>
              </w:rPr>
            </w:pPr>
            <w:r>
              <w:rPr>
                <w:color w:val="000000"/>
                <w:sz w:val="24"/>
                <w:szCs w:val="24"/>
              </w:rPr>
              <w:object w:dxaOrig="350" w:dyaOrig="250">
                <v:shape id="_x0000_i1144" type="#_x0000_t75" style="width:17.55pt;height:12.5pt" o:ole="">
                  <v:imagedata r:id="rId27" o:title=""/>
                </v:shape>
                <o:OLEObject Type="Embed" ProgID="Equation.DSMT4" ShapeID="_x0000_i1144" DrawAspect="Content" ObjectID="_1707118243" r:id="rId248"/>
              </w:object>
            </w:r>
          </w:p>
        </w:tc>
        <w:tc>
          <w:tcPr>
            <w:tcW w:w="626" w:type="dxa"/>
            <w:vAlign w:val="center"/>
          </w:tcPr>
          <w:p w:rsidR="00222F36" w:rsidRDefault="000B682F">
            <w:pPr>
              <w:spacing w:line="240" w:lineRule="auto"/>
              <w:jc w:val="center"/>
              <w:rPr>
                <w:color w:val="000000"/>
              </w:rPr>
            </w:pPr>
            <w:r>
              <w:rPr>
                <w:color w:val="000000"/>
                <w:sz w:val="24"/>
                <w:szCs w:val="24"/>
              </w:rPr>
              <w:object w:dxaOrig="410" w:dyaOrig="250">
                <v:shape id="_x0000_i1145" type="#_x0000_t75" style="width:20.65pt;height:12.5pt" o:ole="">
                  <v:imagedata r:id="rId29" o:title=""/>
                </v:shape>
                <o:OLEObject Type="Embed" ProgID="Equation.DSMT4" ShapeID="_x0000_i1145" DrawAspect="Content" ObjectID="_1707118244" r:id="rId249"/>
              </w:object>
            </w:r>
          </w:p>
        </w:tc>
        <w:tc>
          <w:tcPr>
            <w:tcW w:w="616" w:type="dxa"/>
            <w:vAlign w:val="center"/>
          </w:tcPr>
          <w:p w:rsidR="00222F36" w:rsidRDefault="000B682F">
            <w:pPr>
              <w:spacing w:line="240" w:lineRule="auto"/>
              <w:jc w:val="center"/>
              <w:rPr>
                <w:color w:val="000000"/>
              </w:rPr>
            </w:pPr>
            <w:r>
              <w:rPr>
                <w:color w:val="000000"/>
                <w:sz w:val="24"/>
                <w:szCs w:val="24"/>
              </w:rPr>
              <w:object w:dxaOrig="400" w:dyaOrig="250">
                <v:shape id="_x0000_i1146" type="#_x0000_t75" style="width:20.05pt;height:12.5pt" o:ole="">
                  <v:imagedata r:id="rId31" o:title=""/>
                </v:shape>
                <o:OLEObject Type="Embed" ProgID="Equation.DSMT4" ShapeID="_x0000_i1146" DrawAspect="Content" ObjectID="_1707118245" r:id="rId250"/>
              </w:object>
            </w:r>
          </w:p>
        </w:tc>
        <w:tc>
          <w:tcPr>
            <w:tcW w:w="566" w:type="dxa"/>
            <w:vAlign w:val="center"/>
          </w:tcPr>
          <w:p w:rsidR="00222F36" w:rsidRDefault="000B682F">
            <w:pPr>
              <w:spacing w:line="240" w:lineRule="auto"/>
              <w:jc w:val="center"/>
              <w:rPr>
                <w:i/>
                <w:color w:val="000000"/>
                <w:sz w:val="16"/>
                <w:szCs w:val="16"/>
              </w:rPr>
            </w:pPr>
            <w:r>
              <w:rPr>
                <w:i/>
                <w:color w:val="000000"/>
                <w:sz w:val="16"/>
                <w:szCs w:val="16"/>
              </w:rPr>
              <w:t>EPU</w:t>
            </w:r>
          </w:p>
        </w:tc>
        <w:tc>
          <w:tcPr>
            <w:tcW w:w="959" w:type="dxa"/>
            <w:vAlign w:val="center"/>
          </w:tcPr>
          <w:p w:rsidR="00222F36" w:rsidRDefault="000B682F">
            <w:pPr>
              <w:spacing w:line="240" w:lineRule="auto"/>
              <w:jc w:val="center"/>
              <w:rPr>
                <w:i/>
                <w:color w:val="000000"/>
              </w:rPr>
            </w:pPr>
            <w:r>
              <w:rPr>
                <w:i/>
                <w:color w:val="000000"/>
              </w:rPr>
              <w:t>S</w:t>
            </w:r>
            <w:r>
              <w:rPr>
                <w:i/>
                <w:color w:val="000000"/>
                <w:vertAlign w:val="superscript"/>
              </w:rPr>
              <w:t>WSJ</w:t>
            </w:r>
            <w:r>
              <w:rPr>
                <w:i/>
                <w:color w:val="000000"/>
              </w:rPr>
              <w:t>(LM)</w:t>
            </w:r>
          </w:p>
        </w:tc>
        <w:tc>
          <w:tcPr>
            <w:tcW w:w="981" w:type="dxa"/>
            <w:vAlign w:val="center"/>
          </w:tcPr>
          <w:p w:rsidR="00222F36" w:rsidRDefault="000B682F">
            <w:pPr>
              <w:spacing w:line="240" w:lineRule="auto"/>
              <w:jc w:val="center"/>
              <w:rPr>
                <w:i/>
                <w:color w:val="000000"/>
              </w:rPr>
            </w:pPr>
            <w:r>
              <w:rPr>
                <w:i/>
                <w:color w:val="000000"/>
              </w:rPr>
              <w:t>S</w:t>
            </w:r>
            <w:r>
              <w:rPr>
                <w:i/>
                <w:color w:val="000000"/>
                <w:vertAlign w:val="superscript"/>
              </w:rPr>
              <w:t>WSJ</w:t>
            </w:r>
            <w:r>
              <w:rPr>
                <w:i/>
                <w:color w:val="000000"/>
              </w:rPr>
              <w:t>(A/A)</w:t>
            </w:r>
          </w:p>
        </w:tc>
      </w:tr>
      <w:tr w:rsidR="00222F36">
        <w:trPr>
          <w:trHeight w:val="300"/>
          <w:jc w:val="center"/>
        </w:trPr>
        <w:tc>
          <w:tcPr>
            <w:tcW w:w="739" w:type="dxa"/>
            <w:tcBorders>
              <w:top w:val="nil"/>
              <w:left w:val="nil"/>
              <w:bottom w:val="nil"/>
              <w:right w:val="nil"/>
            </w:tcBorders>
            <w:shd w:val="clear" w:color="auto" w:fill="auto"/>
            <w:vAlign w:val="bottom"/>
          </w:tcPr>
          <w:p w:rsidR="00222F36" w:rsidRDefault="000B682F">
            <w:pPr>
              <w:jc w:val="right"/>
              <w:rPr>
                <w:color w:val="000000"/>
              </w:rPr>
            </w:pPr>
            <w:r>
              <w:rPr>
                <w:color w:val="000000"/>
              </w:rPr>
              <w:t>1</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0.00</w:t>
            </w:r>
          </w:p>
        </w:tc>
        <w:tc>
          <w:tcPr>
            <w:tcW w:w="694" w:type="dxa"/>
            <w:tcBorders>
              <w:top w:val="nil"/>
              <w:left w:val="nil"/>
              <w:bottom w:val="nil"/>
              <w:right w:val="nil"/>
            </w:tcBorders>
            <w:shd w:val="clear" w:color="auto" w:fill="auto"/>
            <w:vAlign w:val="bottom"/>
          </w:tcPr>
          <w:p w:rsidR="00222F36" w:rsidRDefault="000B682F">
            <w:pPr>
              <w:jc w:val="right"/>
              <w:rPr>
                <w:color w:val="000000"/>
              </w:rPr>
            </w:pPr>
            <w:r>
              <w:rPr>
                <w:color w:val="000000"/>
              </w:rPr>
              <w:t>0.00</w:t>
            </w:r>
          </w:p>
        </w:tc>
        <w:tc>
          <w:tcPr>
            <w:tcW w:w="666" w:type="dxa"/>
            <w:tcBorders>
              <w:top w:val="nil"/>
              <w:left w:val="nil"/>
              <w:bottom w:val="nil"/>
              <w:right w:val="nil"/>
            </w:tcBorders>
            <w:shd w:val="clear" w:color="auto" w:fill="auto"/>
            <w:vAlign w:val="bottom"/>
          </w:tcPr>
          <w:p w:rsidR="00222F36" w:rsidRDefault="000B682F">
            <w:pPr>
              <w:jc w:val="right"/>
              <w:rPr>
                <w:color w:val="000000"/>
              </w:rPr>
            </w:pPr>
            <w:r>
              <w:rPr>
                <w:color w:val="000000"/>
              </w:rPr>
              <w:t>0.00</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0.00</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0.00</w:t>
            </w:r>
          </w:p>
        </w:tc>
        <w:tc>
          <w:tcPr>
            <w:tcW w:w="626" w:type="dxa"/>
            <w:tcBorders>
              <w:top w:val="nil"/>
              <w:left w:val="nil"/>
              <w:bottom w:val="nil"/>
              <w:right w:val="nil"/>
            </w:tcBorders>
            <w:shd w:val="clear" w:color="auto" w:fill="auto"/>
            <w:vAlign w:val="bottom"/>
          </w:tcPr>
          <w:p w:rsidR="00222F36" w:rsidRDefault="000B682F">
            <w:pPr>
              <w:jc w:val="right"/>
              <w:rPr>
                <w:color w:val="000000"/>
              </w:rPr>
            </w:pPr>
            <w:r>
              <w:rPr>
                <w:color w:val="000000"/>
              </w:rPr>
              <w:t>0.00</w:t>
            </w:r>
          </w:p>
        </w:tc>
        <w:tc>
          <w:tcPr>
            <w:tcW w:w="616" w:type="dxa"/>
            <w:tcBorders>
              <w:top w:val="nil"/>
              <w:left w:val="nil"/>
              <w:bottom w:val="nil"/>
              <w:right w:val="nil"/>
            </w:tcBorders>
            <w:shd w:val="clear" w:color="auto" w:fill="auto"/>
            <w:vAlign w:val="bottom"/>
          </w:tcPr>
          <w:p w:rsidR="00222F36" w:rsidRDefault="000B682F">
            <w:pPr>
              <w:jc w:val="right"/>
              <w:rPr>
                <w:color w:val="000000"/>
              </w:rPr>
            </w:pPr>
            <w:r>
              <w:rPr>
                <w:color w:val="000000"/>
              </w:rPr>
              <w:t>0.00</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0.00</w:t>
            </w:r>
          </w:p>
        </w:tc>
        <w:tc>
          <w:tcPr>
            <w:tcW w:w="959" w:type="dxa"/>
            <w:tcBorders>
              <w:top w:val="nil"/>
              <w:left w:val="nil"/>
              <w:bottom w:val="nil"/>
              <w:right w:val="nil"/>
            </w:tcBorders>
            <w:shd w:val="clear" w:color="auto" w:fill="auto"/>
            <w:vAlign w:val="bottom"/>
          </w:tcPr>
          <w:p w:rsidR="00222F36" w:rsidRDefault="000B682F">
            <w:pPr>
              <w:jc w:val="right"/>
              <w:rPr>
                <w:color w:val="000000"/>
              </w:rPr>
            </w:pPr>
            <w:r>
              <w:rPr>
                <w:color w:val="000000"/>
              </w:rPr>
              <w:t>73.40</w:t>
            </w:r>
          </w:p>
        </w:tc>
        <w:tc>
          <w:tcPr>
            <w:tcW w:w="981" w:type="dxa"/>
            <w:tcBorders>
              <w:top w:val="nil"/>
              <w:left w:val="nil"/>
              <w:bottom w:val="nil"/>
              <w:right w:val="nil"/>
            </w:tcBorders>
            <w:shd w:val="clear" w:color="auto" w:fill="auto"/>
            <w:vAlign w:val="bottom"/>
          </w:tcPr>
          <w:p w:rsidR="00222F36" w:rsidRDefault="000B682F">
            <w:pPr>
              <w:jc w:val="right"/>
              <w:rPr>
                <w:color w:val="000000"/>
              </w:rPr>
            </w:pPr>
            <w:r>
              <w:rPr>
                <w:color w:val="000000"/>
              </w:rPr>
              <w:t>16.30</w:t>
            </w:r>
          </w:p>
        </w:tc>
      </w:tr>
      <w:tr w:rsidR="00222F36">
        <w:trPr>
          <w:trHeight w:val="300"/>
          <w:jc w:val="center"/>
        </w:trPr>
        <w:tc>
          <w:tcPr>
            <w:tcW w:w="739" w:type="dxa"/>
            <w:tcBorders>
              <w:top w:val="nil"/>
              <w:left w:val="nil"/>
              <w:bottom w:val="nil"/>
              <w:right w:val="nil"/>
            </w:tcBorders>
            <w:shd w:val="clear" w:color="auto" w:fill="auto"/>
            <w:vAlign w:val="bottom"/>
          </w:tcPr>
          <w:p w:rsidR="00222F36" w:rsidRDefault="000B682F">
            <w:pPr>
              <w:jc w:val="right"/>
              <w:rPr>
                <w:color w:val="000000"/>
              </w:rPr>
            </w:pPr>
            <w:r>
              <w:rPr>
                <w:color w:val="000000"/>
              </w:rPr>
              <w:t>2</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0.44</w:t>
            </w:r>
          </w:p>
        </w:tc>
        <w:tc>
          <w:tcPr>
            <w:tcW w:w="694" w:type="dxa"/>
            <w:tcBorders>
              <w:top w:val="nil"/>
              <w:left w:val="nil"/>
              <w:bottom w:val="nil"/>
              <w:right w:val="nil"/>
            </w:tcBorders>
            <w:shd w:val="clear" w:color="auto" w:fill="auto"/>
            <w:vAlign w:val="bottom"/>
          </w:tcPr>
          <w:p w:rsidR="00222F36" w:rsidRDefault="000B682F">
            <w:pPr>
              <w:jc w:val="right"/>
              <w:rPr>
                <w:color w:val="000000"/>
              </w:rPr>
            </w:pPr>
            <w:r>
              <w:rPr>
                <w:color w:val="000000"/>
              </w:rPr>
              <w:t>0.05</w:t>
            </w:r>
          </w:p>
        </w:tc>
        <w:tc>
          <w:tcPr>
            <w:tcW w:w="666" w:type="dxa"/>
            <w:tcBorders>
              <w:top w:val="nil"/>
              <w:left w:val="nil"/>
              <w:bottom w:val="nil"/>
              <w:right w:val="nil"/>
            </w:tcBorders>
            <w:shd w:val="clear" w:color="auto" w:fill="auto"/>
            <w:vAlign w:val="bottom"/>
          </w:tcPr>
          <w:p w:rsidR="00222F36" w:rsidRDefault="000B682F">
            <w:pPr>
              <w:jc w:val="right"/>
              <w:rPr>
                <w:color w:val="000000"/>
              </w:rPr>
            </w:pPr>
            <w:r>
              <w:rPr>
                <w:color w:val="000000"/>
              </w:rPr>
              <w:t>1.80</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0.02</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0.26</w:t>
            </w:r>
          </w:p>
        </w:tc>
        <w:tc>
          <w:tcPr>
            <w:tcW w:w="626" w:type="dxa"/>
            <w:tcBorders>
              <w:top w:val="nil"/>
              <w:left w:val="nil"/>
              <w:bottom w:val="nil"/>
              <w:right w:val="nil"/>
            </w:tcBorders>
            <w:shd w:val="clear" w:color="auto" w:fill="auto"/>
            <w:vAlign w:val="bottom"/>
          </w:tcPr>
          <w:p w:rsidR="00222F36" w:rsidRDefault="000B682F">
            <w:pPr>
              <w:jc w:val="right"/>
              <w:rPr>
                <w:color w:val="000000"/>
              </w:rPr>
            </w:pPr>
            <w:r>
              <w:rPr>
                <w:color w:val="000000"/>
              </w:rPr>
              <w:t>0.23</w:t>
            </w:r>
          </w:p>
        </w:tc>
        <w:tc>
          <w:tcPr>
            <w:tcW w:w="616" w:type="dxa"/>
            <w:tcBorders>
              <w:top w:val="nil"/>
              <w:left w:val="nil"/>
              <w:bottom w:val="nil"/>
              <w:right w:val="nil"/>
            </w:tcBorders>
            <w:shd w:val="clear" w:color="auto" w:fill="auto"/>
            <w:vAlign w:val="bottom"/>
          </w:tcPr>
          <w:p w:rsidR="00222F36" w:rsidRDefault="000B682F">
            <w:pPr>
              <w:jc w:val="right"/>
              <w:rPr>
                <w:color w:val="000000"/>
              </w:rPr>
            </w:pPr>
            <w:r>
              <w:rPr>
                <w:color w:val="000000"/>
              </w:rPr>
              <w:t>0.13</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2.14</w:t>
            </w:r>
          </w:p>
        </w:tc>
        <w:tc>
          <w:tcPr>
            <w:tcW w:w="959" w:type="dxa"/>
            <w:tcBorders>
              <w:top w:val="nil"/>
              <w:left w:val="nil"/>
              <w:bottom w:val="nil"/>
              <w:right w:val="nil"/>
            </w:tcBorders>
            <w:shd w:val="clear" w:color="auto" w:fill="auto"/>
            <w:vAlign w:val="bottom"/>
          </w:tcPr>
          <w:p w:rsidR="00222F36" w:rsidRDefault="000B682F">
            <w:pPr>
              <w:jc w:val="right"/>
              <w:rPr>
                <w:color w:val="000000"/>
              </w:rPr>
            </w:pPr>
            <w:r>
              <w:rPr>
                <w:color w:val="000000"/>
              </w:rPr>
              <w:t>68.06</w:t>
            </w:r>
          </w:p>
        </w:tc>
        <w:tc>
          <w:tcPr>
            <w:tcW w:w="981" w:type="dxa"/>
            <w:tcBorders>
              <w:top w:val="nil"/>
              <w:left w:val="nil"/>
              <w:bottom w:val="nil"/>
              <w:right w:val="nil"/>
            </w:tcBorders>
            <w:shd w:val="clear" w:color="auto" w:fill="auto"/>
            <w:vAlign w:val="bottom"/>
          </w:tcPr>
          <w:p w:rsidR="00222F36" w:rsidRDefault="000B682F">
            <w:pPr>
              <w:jc w:val="right"/>
              <w:rPr>
                <w:color w:val="000000"/>
              </w:rPr>
            </w:pPr>
            <w:r>
              <w:rPr>
                <w:color w:val="000000"/>
              </w:rPr>
              <w:t>23.56</w:t>
            </w:r>
          </w:p>
        </w:tc>
      </w:tr>
      <w:tr w:rsidR="00222F36">
        <w:trPr>
          <w:trHeight w:val="300"/>
          <w:jc w:val="center"/>
        </w:trPr>
        <w:tc>
          <w:tcPr>
            <w:tcW w:w="739" w:type="dxa"/>
            <w:tcBorders>
              <w:top w:val="nil"/>
              <w:left w:val="nil"/>
              <w:bottom w:val="nil"/>
              <w:right w:val="nil"/>
            </w:tcBorders>
            <w:shd w:val="clear" w:color="auto" w:fill="auto"/>
            <w:vAlign w:val="bottom"/>
          </w:tcPr>
          <w:p w:rsidR="00222F36" w:rsidRDefault="000B682F">
            <w:pPr>
              <w:jc w:val="right"/>
              <w:rPr>
                <w:color w:val="000000"/>
              </w:rPr>
            </w:pPr>
            <w:r>
              <w:rPr>
                <w:color w:val="000000"/>
              </w:rPr>
              <w:t>3</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0.88</w:t>
            </w:r>
          </w:p>
        </w:tc>
        <w:tc>
          <w:tcPr>
            <w:tcW w:w="694" w:type="dxa"/>
            <w:tcBorders>
              <w:top w:val="nil"/>
              <w:left w:val="nil"/>
              <w:bottom w:val="nil"/>
              <w:right w:val="nil"/>
            </w:tcBorders>
            <w:shd w:val="clear" w:color="auto" w:fill="auto"/>
            <w:vAlign w:val="bottom"/>
          </w:tcPr>
          <w:p w:rsidR="00222F36" w:rsidRDefault="000B682F">
            <w:pPr>
              <w:jc w:val="right"/>
              <w:rPr>
                <w:color w:val="000000"/>
              </w:rPr>
            </w:pPr>
            <w:r>
              <w:rPr>
                <w:color w:val="000000"/>
              </w:rPr>
              <w:t>0.05</w:t>
            </w:r>
          </w:p>
        </w:tc>
        <w:tc>
          <w:tcPr>
            <w:tcW w:w="666" w:type="dxa"/>
            <w:tcBorders>
              <w:top w:val="nil"/>
              <w:left w:val="nil"/>
              <w:bottom w:val="nil"/>
              <w:right w:val="nil"/>
            </w:tcBorders>
            <w:shd w:val="clear" w:color="auto" w:fill="auto"/>
            <w:vAlign w:val="bottom"/>
          </w:tcPr>
          <w:p w:rsidR="00222F36" w:rsidRDefault="000B682F">
            <w:pPr>
              <w:jc w:val="right"/>
              <w:rPr>
                <w:color w:val="000000"/>
              </w:rPr>
            </w:pPr>
            <w:r>
              <w:rPr>
                <w:color w:val="000000"/>
              </w:rPr>
              <w:t>7.49</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0.20</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0.35</w:t>
            </w:r>
          </w:p>
        </w:tc>
        <w:tc>
          <w:tcPr>
            <w:tcW w:w="626" w:type="dxa"/>
            <w:tcBorders>
              <w:top w:val="nil"/>
              <w:left w:val="nil"/>
              <w:bottom w:val="nil"/>
              <w:right w:val="nil"/>
            </w:tcBorders>
            <w:shd w:val="clear" w:color="auto" w:fill="auto"/>
            <w:vAlign w:val="bottom"/>
          </w:tcPr>
          <w:p w:rsidR="00222F36" w:rsidRDefault="000B682F">
            <w:pPr>
              <w:jc w:val="right"/>
              <w:rPr>
                <w:color w:val="000000"/>
              </w:rPr>
            </w:pPr>
            <w:r>
              <w:rPr>
                <w:color w:val="000000"/>
              </w:rPr>
              <w:t>0.30</w:t>
            </w:r>
          </w:p>
        </w:tc>
        <w:tc>
          <w:tcPr>
            <w:tcW w:w="616" w:type="dxa"/>
            <w:tcBorders>
              <w:top w:val="nil"/>
              <w:left w:val="nil"/>
              <w:bottom w:val="nil"/>
              <w:right w:val="nil"/>
            </w:tcBorders>
            <w:shd w:val="clear" w:color="auto" w:fill="auto"/>
            <w:vAlign w:val="bottom"/>
          </w:tcPr>
          <w:p w:rsidR="00222F36" w:rsidRDefault="000B682F">
            <w:pPr>
              <w:jc w:val="right"/>
              <w:rPr>
                <w:color w:val="000000"/>
              </w:rPr>
            </w:pPr>
            <w:r>
              <w:rPr>
                <w:color w:val="000000"/>
              </w:rPr>
              <w:t>0.66</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3.98</w:t>
            </w:r>
          </w:p>
        </w:tc>
        <w:tc>
          <w:tcPr>
            <w:tcW w:w="959" w:type="dxa"/>
            <w:tcBorders>
              <w:top w:val="nil"/>
              <w:left w:val="nil"/>
              <w:bottom w:val="nil"/>
              <w:right w:val="nil"/>
            </w:tcBorders>
            <w:shd w:val="clear" w:color="auto" w:fill="auto"/>
            <w:vAlign w:val="bottom"/>
          </w:tcPr>
          <w:p w:rsidR="00222F36" w:rsidRDefault="000B682F">
            <w:pPr>
              <w:jc w:val="right"/>
              <w:rPr>
                <w:color w:val="000000"/>
              </w:rPr>
            </w:pPr>
            <w:r>
              <w:rPr>
                <w:color w:val="000000"/>
              </w:rPr>
              <w:t>67.74</w:t>
            </w:r>
          </w:p>
        </w:tc>
        <w:tc>
          <w:tcPr>
            <w:tcW w:w="981" w:type="dxa"/>
            <w:tcBorders>
              <w:top w:val="nil"/>
              <w:left w:val="nil"/>
              <w:bottom w:val="nil"/>
              <w:right w:val="nil"/>
            </w:tcBorders>
            <w:shd w:val="clear" w:color="auto" w:fill="auto"/>
            <w:vAlign w:val="bottom"/>
          </w:tcPr>
          <w:p w:rsidR="00222F36" w:rsidRDefault="000B682F">
            <w:pPr>
              <w:jc w:val="right"/>
              <w:rPr>
                <w:color w:val="000000"/>
              </w:rPr>
            </w:pPr>
            <w:r>
              <w:rPr>
                <w:color w:val="000000"/>
              </w:rPr>
              <w:t>25.33</w:t>
            </w:r>
          </w:p>
        </w:tc>
      </w:tr>
      <w:tr w:rsidR="00222F36">
        <w:trPr>
          <w:trHeight w:val="300"/>
          <w:jc w:val="center"/>
        </w:trPr>
        <w:tc>
          <w:tcPr>
            <w:tcW w:w="739" w:type="dxa"/>
            <w:tcBorders>
              <w:top w:val="nil"/>
              <w:left w:val="nil"/>
              <w:bottom w:val="nil"/>
              <w:right w:val="nil"/>
            </w:tcBorders>
            <w:shd w:val="clear" w:color="auto" w:fill="auto"/>
            <w:vAlign w:val="bottom"/>
          </w:tcPr>
          <w:p w:rsidR="00222F36" w:rsidRDefault="000B682F">
            <w:pPr>
              <w:jc w:val="right"/>
              <w:rPr>
                <w:color w:val="000000"/>
              </w:rPr>
            </w:pPr>
            <w:r>
              <w:rPr>
                <w:color w:val="000000"/>
              </w:rPr>
              <w:t>4</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1.19</w:t>
            </w:r>
          </w:p>
        </w:tc>
        <w:tc>
          <w:tcPr>
            <w:tcW w:w="694" w:type="dxa"/>
            <w:tcBorders>
              <w:top w:val="nil"/>
              <w:left w:val="nil"/>
              <w:bottom w:val="nil"/>
              <w:right w:val="nil"/>
            </w:tcBorders>
            <w:shd w:val="clear" w:color="auto" w:fill="auto"/>
            <w:vAlign w:val="bottom"/>
          </w:tcPr>
          <w:p w:rsidR="00222F36" w:rsidRDefault="000B682F">
            <w:pPr>
              <w:jc w:val="right"/>
              <w:rPr>
                <w:color w:val="000000"/>
              </w:rPr>
            </w:pPr>
            <w:r>
              <w:rPr>
                <w:color w:val="000000"/>
              </w:rPr>
              <w:t>0.05</w:t>
            </w:r>
          </w:p>
        </w:tc>
        <w:tc>
          <w:tcPr>
            <w:tcW w:w="666" w:type="dxa"/>
            <w:tcBorders>
              <w:top w:val="nil"/>
              <w:left w:val="nil"/>
              <w:bottom w:val="nil"/>
              <w:right w:val="nil"/>
            </w:tcBorders>
            <w:shd w:val="clear" w:color="auto" w:fill="auto"/>
            <w:vAlign w:val="bottom"/>
          </w:tcPr>
          <w:p w:rsidR="00222F36" w:rsidRDefault="000B682F">
            <w:pPr>
              <w:jc w:val="right"/>
              <w:rPr>
                <w:color w:val="000000"/>
              </w:rPr>
            </w:pPr>
            <w:r>
              <w:rPr>
                <w:color w:val="000000"/>
              </w:rPr>
              <w:t>14.71</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0.42</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0.43</w:t>
            </w:r>
          </w:p>
        </w:tc>
        <w:tc>
          <w:tcPr>
            <w:tcW w:w="626" w:type="dxa"/>
            <w:tcBorders>
              <w:top w:val="nil"/>
              <w:left w:val="nil"/>
              <w:bottom w:val="nil"/>
              <w:right w:val="nil"/>
            </w:tcBorders>
            <w:shd w:val="clear" w:color="auto" w:fill="auto"/>
            <w:vAlign w:val="bottom"/>
          </w:tcPr>
          <w:p w:rsidR="00222F36" w:rsidRDefault="000B682F">
            <w:pPr>
              <w:jc w:val="right"/>
              <w:rPr>
                <w:color w:val="000000"/>
              </w:rPr>
            </w:pPr>
            <w:r>
              <w:rPr>
                <w:color w:val="000000"/>
              </w:rPr>
              <w:t>0.37</w:t>
            </w:r>
          </w:p>
        </w:tc>
        <w:tc>
          <w:tcPr>
            <w:tcW w:w="616" w:type="dxa"/>
            <w:tcBorders>
              <w:top w:val="nil"/>
              <w:left w:val="nil"/>
              <w:bottom w:val="nil"/>
              <w:right w:val="nil"/>
            </w:tcBorders>
            <w:shd w:val="clear" w:color="auto" w:fill="auto"/>
            <w:vAlign w:val="bottom"/>
          </w:tcPr>
          <w:p w:rsidR="00222F36" w:rsidRDefault="000B682F">
            <w:pPr>
              <w:jc w:val="right"/>
              <w:rPr>
                <w:color w:val="000000"/>
              </w:rPr>
            </w:pPr>
            <w:r>
              <w:rPr>
                <w:color w:val="000000"/>
              </w:rPr>
              <w:t>1.21</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6.23</w:t>
            </w:r>
          </w:p>
        </w:tc>
        <w:tc>
          <w:tcPr>
            <w:tcW w:w="959" w:type="dxa"/>
            <w:tcBorders>
              <w:top w:val="nil"/>
              <w:left w:val="nil"/>
              <w:bottom w:val="nil"/>
              <w:right w:val="nil"/>
            </w:tcBorders>
            <w:shd w:val="clear" w:color="auto" w:fill="auto"/>
            <w:vAlign w:val="bottom"/>
          </w:tcPr>
          <w:p w:rsidR="00222F36" w:rsidRDefault="000B682F">
            <w:pPr>
              <w:jc w:val="right"/>
              <w:rPr>
                <w:color w:val="000000"/>
              </w:rPr>
            </w:pPr>
            <w:r>
              <w:rPr>
                <w:color w:val="000000"/>
              </w:rPr>
              <w:t>67.98</w:t>
            </w:r>
          </w:p>
        </w:tc>
        <w:tc>
          <w:tcPr>
            <w:tcW w:w="981" w:type="dxa"/>
            <w:tcBorders>
              <w:top w:val="nil"/>
              <w:left w:val="nil"/>
              <w:bottom w:val="nil"/>
              <w:right w:val="nil"/>
            </w:tcBorders>
            <w:shd w:val="clear" w:color="auto" w:fill="auto"/>
            <w:vAlign w:val="bottom"/>
          </w:tcPr>
          <w:p w:rsidR="00222F36" w:rsidRDefault="000B682F">
            <w:pPr>
              <w:jc w:val="right"/>
              <w:rPr>
                <w:color w:val="000000"/>
              </w:rPr>
            </w:pPr>
            <w:r>
              <w:rPr>
                <w:color w:val="000000"/>
              </w:rPr>
              <w:t>26.22</w:t>
            </w:r>
          </w:p>
        </w:tc>
      </w:tr>
      <w:tr w:rsidR="00222F36">
        <w:trPr>
          <w:trHeight w:val="300"/>
          <w:jc w:val="center"/>
        </w:trPr>
        <w:tc>
          <w:tcPr>
            <w:tcW w:w="739" w:type="dxa"/>
            <w:tcBorders>
              <w:top w:val="nil"/>
              <w:left w:val="nil"/>
              <w:bottom w:val="nil"/>
              <w:right w:val="nil"/>
            </w:tcBorders>
            <w:shd w:val="clear" w:color="auto" w:fill="auto"/>
            <w:vAlign w:val="bottom"/>
          </w:tcPr>
          <w:p w:rsidR="00222F36" w:rsidRDefault="000B682F">
            <w:pPr>
              <w:jc w:val="right"/>
              <w:rPr>
                <w:color w:val="000000"/>
              </w:rPr>
            </w:pPr>
            <w:r>
              <w:rPr>
                <w:color w:val="000000"/>
              </w:rPr>
              <w:t>5</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1.41</w:t>
            </w:r>
          </w:p>
        </w:tc>
        <w:tc>
          <w:tcPr>
            <w:tcW w:w="694" w:type="dxa"/>
            <w:tcBorders>
              <w:top w:val="nil"/>
              <w:left w:val="nil"/>
              <w:bottom w:val="nil"/>
              <w:right w:val="nil"/>
            </w:tcBorders>
            <w:shd w:val="clear" w:color="auto" w:fill="auto"/>
            <w:vAlign w:val="bottom"/>
          </w:tcPr>
          <w:p w:rsidR="00222F36" w:rsidRDefault="000B682F">
            <w:pPr>
              <w:jc w:val="right"/>
              <w:rPr>
                <w:color w:val="000000"/>
              </w:rPr>
            </w:pPr>
            <w:r>
              <w:rPr>
                <w:color w:val="000000"/>
              </w:rPr>
              <w:t>0.06</w:t>
            </w:r>
          </w:p>
        </w:tc>
        <w:tc>
          <w:tcPr>
            <w:tcW w:w="666" w:type="dxa"/>
            <w:tcBorders>
              <w:top w:val="nil"/>
              <w:left w:val="nil"/>
              <w:bottom w:val="nil"/>
              <w:right w:val="nil"/>
            </w:tcBorders>
            <w:shd w:val="clear" w:color="auto" w:fill="auto"/>
            <w:vAlign w:val="bottom"/>
          </w:tcPr>
          <w:p w:rsidR="00222F36" w:rsidRDefault="000B682F">
            <w:pPr>
              <w:jc w:val="right"/>
              <w:rPr>
                <w:color w:val="000000"/>
              </w:rPr>
            </w:pPr>
            <w:r>
              <w:rPr>
                <w:color w:val="000000"/>
              </w:rPr>
              <w:t>20.55</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0.64</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0.48</w:t>
            </w:r>
          </w:p>
        </w:tc>
        <w:tc>
          <w:tcPr>
            <w:tcW w:w="626" w:type="dxa"/>
            <w:tcBorders>
              <w:top w:val="nil"/>
              <w:left w:val="nil"/>
              <w:bottom w:val="nil"/>
              <w:right w:val="nil"/>
            </w:tcBorders>
            <w:shd w:val="clear" w:color="auto" w:fill="auto"/>
            <w:vAlign w:val="bottom"/>
          </w:tcPr>
          <w:p w:rsidR="00222F36" w:rsidRDefault="000B682F">
            <w:pPr>
              <w:jc w:val="right"/>
              <w:rPr>
                <w:color w:val="000000"/>
              </w:rPr>
            </w:pPr>
            <w:r>
              <w:rPr>
                <w:color w:val="000000"/>
              </w:rPr>
              <w:t>0.41</w:t>
            </w:r>
          </w:p>
        </w:tc>
        <w:tc>
          <w:tcPr>
            <w:tcW w:w="616" w:type="dxa"/>
            <w:tcBorders>
              <w:top w:val="nil"/>
              <w:left w:val="nil"/>
              <w:bottom w:val="nil"/>
              <w:right w:val="nil"/>
            </w:tcBorders>
            <w:shd w:val="clear" w:color="auto" w:fill="auto"/>
            <w:vAlign w:val="bottom"/>
          </w:tcPr>
          <w:p w:rsidR="00222F36" w:rsidRDefault="000B682F">
            <w:pPr>
              <w:jc w:val="right"/>
              <w:rPr>
                <w:color w:val="000000"/>
              </w:rPr>
            </w:pPr>
            <w:r>
              <w:rPr>
                <w:color w:val="000000"/>
              </w:rPr>
              <w:t>1.71</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7.63</w:t>
            </w:r>
          </w:p>
        </w:tc>
        <w:tc>
          <w:tcPr>
            <w:tcW w:w="959" w:type="dxa"/>
            <w:tcBorders>
              <w:top w:val="nil"/>
              <w:left w:val="nil"/>
              <w:bottom w:val="nil"/>
              <w:right w:val="nil"/>
            </w:tcBorders>
            <w:shd w:val="clear" w:color="auto" w:fill="auto"/>
            <w:vAlign w:val="bottom"/>
          </w:tcPr>
          <w:p w:rsidR="00222F36" w:rsidRDefault="000B682F">
            <w:pPr>
              <w:jc w:val="right"/>
              <w:rPr>
                <w:color w:val="000000"/>
              </w:rPr>
            </w:pPr>
            <w:r>
              <w:rPr>
                <w:color w:val="000000"/>
              </w:rPr>
              <w:t>68.68</w:t>
            </w:r>
          </w:p>
        </w:tc>
        <w:tc>
          <w:tcPr>
            <w:tcW w:w="981" w:type="dxa"/>
            <w:tcBorders>
              <w:top w:val="nil"/>
              <w:left w:val="nil"/>
              <w:bottom w:val="nil"/>
              <w:right w:val="nil"/>
            </w:tcBorders>
            <w:shd w:val="clear" w:color="auto" w:fill="auto"/>
            <w:vAlign w:val="bottom"/>
          </w:tcPr>
          <w:p w:rsidR="00222F36" w:rsidRDefault="000B682F">
            <w:pPr>
              <w:jc w:val="right"/>
              <w:rPr>
                <w:color w:val="000000"/>
              </w:rPr>
            </w:pPr>
            <w:r>
              <w:rPr>
                <w:color w:val="000000"/>
              </w:rPr>
              <w:t>26.32</w:t>
            </w:r>
          </w:p>
        </w:tc>
      </w:tr>
      <w:tr w:rsidR="00222F36">
        <w:trPr>
          <w:trHeight w:val="300"/>
          <w:jc w:val="center"/>
        </w:trPr>
        <w:tc>
          <w:tcPr>
            <w:tcW w:w="739" w:type="dxa"/>
            <w:tcBorders>
              <w:top w:val="nil"/>
              <w:left w:val="nil"/>
              <w:bottom w:val="nil"/>
              <w:right w:val="nil"/>
            </w:tcBorders>
            <w:shd w:val="clear" w:color="auto" w:fill="auto"/>
            <w:vAlign w:val="bottom"/>
          </w:tcPr>
          <w:p w:rsidR="00222F36" w:rsidRDefault="000B682F">
            <w:pPr>
              <w:jc w:val="right"/>
              <w:rPr>
                <w:color w:val="000000"/>
              </w:rPr>
            </w:pPr>
            <w:r>
              <w:rPr>
                <w:color w:val="000000"/>
              </w:rPr>
              <w:t>10</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1.85</w:t>
            </w:r>
          </w:p>
        </w:tc>
        <w:tc>
          <w:tcPr>
            <w:tcW w:w="694" w:type="dxa"/>
            <w:tcBorders>
              <w:top w:val="nil"/>
              <w:left w:val="nil"/>
              <w:bottom w:val="nil"/>
              <w:right w:val="nil"/>
            </w:tcBorders>
            <w:shd w:val="clear" w:color="auto" w:fill="auto"/>
            <w:vAlign w:val="bottom"/>
          </w:tcPr>
          <w:p w:rsidR="00222F36" w:rsidRDefault="000B682F">
            <w:pPr>
              <w:jc w:val="right"/>
              <w:rPr>
                <w:color w:val="000000"/>
              </w:rPr>
            </w:pPr>
            <w:r>
              <w:rPr>
                <w:color w:val="000000"/>
              </w:rPr>
              <w:t>0.22</w:t>
            </w:r>
          </w:p>
        </w:tc>
        <w:tc>
          <w:tcPr>
            <w:tcW w:w="666" w:type="dxa"/>
            <w:tcBorders>
              <w:top w:val="nil"/>
              <w:left w:val="nil"/>
              <w:bottom w:val="nil"/>
              <w:right w:val="nil"/>
            </w:tcBorders>
            <w:shd w:val="clear" w:color="auto" w:fill="auto"/>
            <w:vAlign w:val="bottom"/>
          </w:tcPr>
          <w:p w:rsidR="00222F36" w:rsidRDefault="000B682F">
            <w:pPr>
              <w:jc w:val="right"/>
              <w:rPr>
                <w:color w:val="000000"/>
              </w:rPr>
            </w:pPr>
            <w:r>
              <w:rPr>
                <w:color w:val="000000"/>
              </w:rPr>
              <w:t>31.27</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1.78</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0.41</w:t>
            </w:r>
          </w:p>
        </w:tc>
        <w:tc>
          <w:tcPr>
            <w:tcW w:w="626" w:type="dxa"/>
            <w:tcBorders>
              <w:top w:val="nil"/>
              <w:left w:val="nil"/>
              <w:bottom w:val="nil"/>
              <w:right w:val="nil"/>
            </w:tcBorders>
            <w:shd w:val="clear" w:color="auto" w:fill="auto"/>
            <w:vAlign w:val="bottom"/>
          </w:tcPr>
          <w:p w:rsidR="00222F36" w:rsidRDefault="000B682F">
            <w:pPr>
              <w:jc w:val="right"/>
              <w:rPr>
                <w:color w:val="000000"/>
              </w:rPr>
            </w:pPr>
            <w:r>
              <w:rPr>
                <w:color w:val="000000"/>
              </w:rPr>
              <w:t>0.36</w:t>
            </w:r>
          </w:p>
        </w:tc>
        <w:tc>
          <w:tcPr>
            <w:tcW w:w="616" w:type="dxa"/>
            <w:tcBorders>
              <w:top w:val="nil"/>
              <w:left w:val="nil"/>
              <w:bottom w:val="nil"/>
              <w:right w:val="nil"/>
            </w:tcBorders>
            <w:shd w:val="clear" w:color="auto" w:fill="auto"/>
            <w:vAlign w:val="bottom"/>
          </w:tcPr>
          <w:p w:rsidR="00222F36" w:rsidRDefault="000B682F">
            <w:pPr>
              <w:jc w:val="right"/>
              <w:rPr>
                <w:color w:val="000000"/>
              </w:rPr>
            </w:pPr>
            <w:r>
              <w:rPr>
                <w:color w:val="000000"/>
              </w:rPr>
              <w:t>3.83</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9.82</w:t>
            </w:r>
          </w:p>
        </w:tc>
        <w:tc>
          <w:tcPr>
            <w:tcW w:w="959" w:type="dxa"/>
            <w:tcBorders>
              <w:top w:val="nil"/>
              <w:left w:val="nil"/>
              <w:bottom w:val="nil"/>
              <w:right w:val="nil"/>
            </w:tcBorders>
            <w:shd w:val="clear" w:color="auto" w:fill="auto"/>
            <w:vAlign w:val="bottom"/>
          </w:tcPr>
          <w:p w:rsidR="00222F36" w:rsidRDefault="000B682F">
            <w:pPr>
              <w:jc w:val="right"/>
              <w:rPr>
                <w:color w:val="000000"/>
              </w:rPr>
            </w:pPr>
            <w:r>
              <w:rPr>
                <w:color w:val="000000"/>
              </w:rPr>
              <w:t>70.84</w:t>
            </w:r>
          </w:p>
        </w:tc>
        <w:tc>
          <w:tcPr>
            <w:tcW w:w="981" w:type="dxa"/>
            <w:tcBorders>
              <w:top w:val="nil"/>
              <w:left w:val="nil"/>
              <w:bottom w:val="nil"/>
              <w:right w:val="nil"/>
            </w:tcBorders>
            <w:shd w:val="clear" w:color="auto" w:fill="auto"/>
            <w:vAlign w:val="bottom"/>
          </w:tcPr>
          <w:p w:rsidR="00222F36" w:rsidRDefault="000B682F">
            <w:pPr>
              <w:jc w:val="right"/>
              <w:rPr>
                <w:color w:val="000000"/>
              </w:rPr>
            </w:pPr>
            <w:r>
              <w:rPr>
                <w:color w:val="000000"/>
              </w:rPr>
              <w:t>24.20</w:t>
            </w:r>
          </w:p>
        </w:tc>
      </w:tr>
      <w:tr w:rsidR="00222F36">
        <w:trPr>
          <w:trHeight w:val="300"/>
          <w:jc w:val="center"/>
        </w:trPr>
        <w:tc>
          <w:tcPr>
            <w:tcW w:w="739" w:type="dxa"/>
            <w:tcBorders>
              <w:top w:val="nil"/>
              <w:left w:val="nil"/>
              <w:bottom w:val="nil"/>
              <w:right w:val="nil"/>
            </w:tcBorders>
            <w:shd w:val="clear" w:color="auto" w:fill="auto"/>
            <w:vAlign w:val="bottom"/>
          </w:tcPr>
          <w:p w:rsidR="00222F36" w:rsidRDefault="000B682F">
            <w:pPr>
              <w:jc w:val="right"/>
              <w:rPr>
                <w:color w:val="000000"/>
              </w:rPr>
            </w:pPr>
            <w:r>
              <w:rPr>
                <w:color w:val="000000"/>
              </w:rPr>
              <w:t>15</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1.66</w:t>
            </w:r>
          </w:p>
        </w:tc>
        <w:tc>
          <w:tcPr>
            <w:tcW w:w="694" w:type="dxa"/>
            <w:tcBorders>
              <w:top w:val="nil"/>
              <w:left w:val="nil"/>
              <w:bottom w:val="nil"/>
              <w:right w:val="nil"/>
            </w:tcBorders>
            <w:shd w:val="clear" w:color="auto" w:fill="auto"/>
            <w:vAlign w:val="bottom"/>
          </w:tcPr>
          <w:p w:rsidR="00222F36" w:rsidRDefault="000B682F">
            <w:pPr>
              <w:jc w:val="right"/>
              <w:rPr>
                <w:color w:val="000000"/>
              </w:rPr>
            </w:pPr>
            <w:r>
              <w:rPr>
                <w:color w:val="000000"/>
              </w:rPr>
              <w:t>0.29</w:t>
            </w:r>
          </w:p>
        </w:tc>
        <w:tc>
          <w:tcPr>
            <w:tcW w:w="666" w:type="dxa"/>
            <w:tcBorders>
              <w:top w:val="nil"/>
              <w:left w:val="nil"/>
              <w:bottom w:val="nil"/>
              <w:right w:val="nil"/>
            </w:tcBorders>
            <w:shd w:val="clear" w:color="auto" w:fill="auto"/>
            <w:vAlign w:val="bottom"/>
          </w:tcPr>
          <w:p w:rsidR="00222F36" w:rsidRDefault="000B682F">
            <w:pPr>
              <w:jc w:val="right"/>
              <w:rPr>
                <w:color w:val="000000"/>
              </w:rPr>
            </w:pPr>
            <w:r>
              <w:rPr>
                <w:color w:val="000000"/>
              </w:rPr>
              <w:t>32.40</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2.60</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0.26</w:t>
            </w:r>
          </w:p>
        </w:tc>
        <w:tc>
          <w:tcPr>
            <w:tcW w:w="626" w:type="dxa"/>
            <w:tcBorders>
              <w:top w:val="nil"/>
              <w:left w:val="nil"/>
              <w:bottom w:val="nil"/>
              <w:right w:val="nil"/>
            </w:tcBorders>
            <w:shd w:val="clear" w:color="auto" w:fill="auto"/>
            <w:vAlign w:val="bottom"/>
          </w:tcPr>
          <w:p w:rsidR="00222F36" w:rsidRDefault="000B682F">
            <w:pPr>
              <w:jc w:val="right"/>
              <w:rPr>
                <w:color w:val="000000"/>
              </w:rPr>
            </w:pPr>
            <w:r>
              <w:rPr>
                <w:color w:val="000000"/>
              </w:rPr>
              <w:t>0.24</w:t>
            </w:r>
          </w:p>
        </w:tc>
        <w:tc>
          <w:tcPr>
            <w:tcW w:w="616" w:type="dxa"/>
            <w:tcBorders>
              <w:top w:val="nil"/>
              <w:left w:val="nil"/>
              <w:bottom w:val="nil"/>
              <w:right w:val="nil"/>
            </w:tcBorders>
            <w:shd w:val="clear" w:color="auto" w:fill="auto"/>
            <w:vAlign w:val="bottom"/>
          </w:tcPr>
          <w:p w:rsidR="00222F36" w:rsidRDefault="000B682F">
            <w:pPr>
              <w:jc w:val="right"/>
              <w:rPr>
                <w:color w:val="000000"/>
              </w:rPr>
            </w:pPr>
            <w:r>
              <w:rPr>
                <w:color w:val="000000"/>
              </w:rPr>
              <w:t>5.34</w:t>
            </w:r>
          </w:p>
        </w:tc>
        <w:tc>
          <w:tcPr>
            <w:tcW w:w="566" w:type="dxa"/>
            <w:tcBorders>
              <w:top w:val="nil"/>
              <w:left w:val="nil"/>
              <w:bottom w:val="nil"/>
              <w:right w:val="nil"/>
            </w:tcBorders>
            <w:shd w:val="clear" w:color="auto" w:fill="auto"/>
            <w:vAlign w:val="bottom"/>
          </w:tcPr>
          <w:p w:rsidR="00222F36" w:rsidRDefault="000B682F">
            <w:pPr>
              <w:jc w:val="right"/>
              <w:rPr>
                <w:color w:val="000000"/>
              </w:rPr>
            </w:pPr>
            <w:r>
              <w:rPr>
                <w:color w:val="000000"/>
              </w:rPr>
              <w:t>9.46</w:t>
            </w:r>
          </w:p>
        </w:tc>
        <w:tc>
          <w:tcPr>
            <w:tcW w:w="959" w:type="dxa"/>
            <w:tcBorders>
              <w:top w:val="nil"/>
              <w:left w:val="nil"/>
              <w:bottom w:val="nil"/>
              <w:right w:val="nil"/>
            </w:tcBorders>
            <w:shd w:val="clear" w:color="auto" w:fill="auto"/>
            <w:vAlign w:val="bottom"/>
          </w:tcPr>
          <w:p w:rsidR="00222F36" w:rsidRDefault="000B682F">
            <w:pPr>
              <w:jc w:val="right"/>
              <w:rPr>
                <w:color w:val="000000"/>
              </w:rPr>
            </w:pPr>
            <w:r>
              <w:rPr>
                <w:color w:val="000000"/>
              </w:rPr>
              <w:t>71.03</w:t>
            </w:r>
          </w:p>
        </w:tc>
        <w:tc>
          <w:tcPr>
            <w:tcW w:w="981" w:type="dxa"/>
            <w:tcBorders>
              <w:top w:val="nil"/>
              <w:left w:val="nil"/>
              <w:bottom w:val="nil"/>
              <w:right w:val="nil"/>
            </w:tcBorders>
            <w:shd w:val="clear" w:color="auto" w:fill="auto"/>
            <w:vAlign w:val="bottom"/>
          </w:tcPr>
          <w:p w:rsidR="00222F36" w:rsidRDefault="000B682F">
            <w:pPr>
              <w:jc w:val="right"/>
              <w:rPr>
                <w:color w:val="000000"/>
              </w:rPr>
            </w:pPr>
            <w:r>
              <w:rPr>
                <w:color w:val="000000"/>
              </w:rPr>
              <w:t>21.94</w:t>
            </w:r>
          </w:p>
        </w:tc>
      </w:tr>
      <w:tr w:rsidR="00222F36">
        <w:trPr>
          <w:trHeight w:val="300"/>
          <w:jc w:val="center"/>
        </w:trPr>
        <w:tc>
          <w:tcPr>
            <w:tcW w:w="739" w:type="dxa"/>
            <w:tcBorders>
              <w:top w:val="nil"/>
              <w:left w:val="nil"/>
              <w:bottom w:val="single" w:sz="4" w:space="0" w:color="000000"/>
              <w:right w:val="nil"/>
            </w:tcBorders>
            <w:shd w:val="clear" w:color="auto" w:fill="auto"/>
            <w:vAlign w:val="bottom"/>
          </w:tcPr>
          <w:p w:rsidR="00222F36" w:rsidRDefault="000B682F">
            <w:pPr>
              <w:jc w:val="right"/>
              <w:rPr>
                <w:color w:val="000000"/>
              </w:rPr>
            </w:pPr>
            <w:r>
              <w:rPr>
                <w:color w:val="000000"/>
              </w:rPr>
              <w:t>20</w:t>
            </w:r>
          </w:p>
        </w:tc>
        <w:tc>
          <w:tcPr>
            <w:tcW w:w="566" w:type="dxa"/>
            <w:tcBorders>
              <w:top w:val="nil"/>
              <w:left w:val="nil"/>
              <w:bottom w:val="single" w:sz="4" w:space="0" w:color="000000"/>
              <w:right w:val="nil"/>
            </w:tcBorders>
            <w:shd w:val="clear" w:color="auto" w:fill="auto"/>
            <w:vAlign w:val="bottom"/>
          </w:tcPr>
          <w:p w:rsidR="00222F36" w:rsidRDefault="000B682F">
            <w:pPr>
              <w:jc w:val="right"/>
              <w:rPr>
                <w:color w:val="000000"/>
              </w:rPr>
            </w:pPr>
            <w:r>
              <w:rPr>
                <w:color w:val="000000"/>
              </w:rPr>
              <w:t>1.41</w:t>
            </w:r>
          </w:p>
        </w:tc>
        <w:tc>
          <w:tcPr>
            <w:tcW w:w="694" w:type="dxa"/>
            <w:tcBorders>
              <w:top w:val="nil"/>
              <w:left w:val="nil"/>
              <w:bottom w:val="single" w:sz="4" w:space="0" w:color="000000"/>
              <w:right w:val="nil"/>
            </w:tcBorders>
            <w:shd w:val="clear" w:color="auto" w:fill="auto"/>
            <w:vAlign w:val="bottom"/>
          </w:tcPr>
          <w:p w:rsidR="00222F36" w:rsidRDefault="000B682F">
            <w:pPr>
              <w:jc w:val="right"/>
              <w:rPr>
                <w:color w:val="000000"/>
              </w:rPr>
            </w:pPr>
            <w:r>
              <w:rPr>
                <w:color w:val="000000"/>
              </w:rPr>
              <w:t>0.32</w:t>
            </w:r>
          </w:p>
        </w:tc>
        <w:tc>
          <w:tcPr>
            <w:tcW w:w="666" w:type="dxa"/>
            <w:tcBorders>
              <w:top w:val="nil"/>
              <w:left w:val="nil"/>
              <w:bottom w:val="single" w:sz="4" w:space="0" w:color="000000"/>
              <w:right w:val="nil"/>
            </w:tcBorders>
            <w:shd w:val="clear" w:color="auto" w:fill="auto"/>
            <w:vAlign w:val="bottom"/>
          </w:tcPr>
          <w:p w:rsidR="00222F36" w:rsidRDefault="000B682F">
            <w:pPr>
              <w:jc w:val="right"/>
              <w:rPr>
                <w:color w:val="000000"/>
              </w:rPr>
            </w:pPr>
            <w:r>
              <w:rPr>
                <w:color w:val="000000"/>
              </w:rPr>
              <w:t>32.26</w:t>
            </w:r>
          </w:p>
        </w:tc>
        <w:tc>
          <w:tcPr>
            <w:tcW w:w="566" w:type="dxa"/>
            <w:tcBorders>
              <w:top w:val="nil"/>
              <w:left w:val="nil"/>
              <w:bottom w:val="single" w:sz="4" w:space="0" w:color="000000"/>
              <w:right w:val="nil"/>
            </w:tcBorders>
            <w:shd w:val="clear" w:color="auto" w:fill="auto"/>
            <w:vAlign w:val="bottom"/>
          </w:tcPr>
          <w:p w:rsidR="00222F36" w:rsidRDefault="000B682F">
            <w:pPr>
              <w:jc w:val="right"/>
              <w:rPr>
                <w:color w:val="000000"/>
              </w:rPr>
            </w:pPr>
            <w:r>
              <w:rPr>
                <w:color w:val="000000"/>
              </w:rPr>
              <w:t>3.10</w:t>
            </w:r>
          </w:p>
        </w:tc>
        <w:tc>
          <w:tcPr>
            <w:tcW w:w="566" w:type="dxa"/>
            <w:tcBorders>
              <w:top w:val="nil"/>
              <w:left w:val="nil"/>
              <w:bottom w:val="single" w:sz="4" w:space="0" w:color="000000"/>
              <w:right w:val="nil"/>
            </w:tcBorders>
            <w:shd w:val="clear" w:color="auto" w:fill="auto"/>
            <w:vAlign w:val="bottom"/>
          </w:tcPr>
          <w:p w:rsidR="00222F36" w:rsidRDefault="000B682F">
            <w:pPr>
              <w:jc w:val="right"/>
              <w:rPr>
                <w:color w:val="000000"/>
              </w:rPr>
            </w:pPr>
            <w:r>
              <w:rPr>
                <w:color w:val="000000"/>
              </w:rPr>
              <w:t>0.20</w:t>
            </w:r>
          </w:p>
        </w:tc>
        <w:tc>
          <w:tcPr>
            <w:tcW w:w="626" w:type="dxa"/>
            <w:tcBorders>
              <w:top w:val="nil"/>
              <w:left w:val="nil"/>
              <w:bottom w:val="single" w:sz="4" w:space="0" w:color="000000"/>
              <w:right w:val="nil"/>
            </w:tcBorders>
            <w:shd w:val="clear" w:color="auto" w:fill="auto"/>
            <w:vAlign w:val="bottom"/>
          </w:tcPr>
          <w:p w:rsidR="00222F36" w:rsidRDefault="000B682F">
            <w:pPr>
              <w:jc w:val="right"/>
              <w:rPr>
                <w:color w:val="000000"/>
              </w:rPr>
            </w:pPr>
            <w:r>
              <w:rPr>
                <w:color w:val="000000"/>
              </w:rPr>
              <w:t>0.18</w:t>
            </w:r>
          </w:p>
        </w:tc>
        <w:tc>
          <w:tcPr>
            <w:tcW w:w="616" w:type="dxa"/>
            <w:tcBorders>
              <w:top w:val="nil"/>
              <w:left w:val="nil"/>
              <w:bottom w:val="single" w:sz="4" w:space="0" w:color="000000"/>
              <w:right w:val="nil"/>
            </w:tcBorders>
            <w:shd w:val="clear" w:color="auto" w:fill="auto"/>
            <w:vAlign w:val="bottom"/>
          </w:tcPr>
          <w:p w:rsidR="00222F36" w:rsidRDefault="000B682F">
            <w:pPr>
              <w:jc w:val="right"/>
              <w:rPr>
                <w:color w:val="000000"/>
              </w:rPr>
            </w:pPr>
            <w:r>
              <w:rPr>
                <w:color w:val="000000"/>
              </w:rPr>
              <w:t>6.48</w:t>
            </w:r>
          </w:p>
        </w:tc>
        <w:tc>
          <w:tcPr>
            <w:tcW w:w="566" w:type="dxa"/>
            <w:tcBorders>
              <w:top w:val="nil"/>
              <w:left w:val="nil"/>
              <w:bottom w:val="single" w:sz="4" w:space="0" w:color="000000"/>
              <w:right w:val="nil"/>
            </w:tcBorders>
            <w:shd w:val="clear" w:color="auto" w:fill="auto"/>
            <w:vAlign w:val="bottom"/>
          </w:tcPr>
          <w:p w:rsidR="00222F36" w:rsidRDefault="000B682F">
            <w:pPr>
              <w:jc w:val="right"/>
              <w:rPr>
                <w:color w:val="000000"/>
              </w:rPr>
            </w:pPr>
            <w:r>
              <w:rPr>
                <w:color w:val="000000"/>
              </w:rPr>
              <w:t>8.89</w:t>
            </w:r>
          </w:p>
        </w:tc>
        <w:tc>
          <w:tcPr>
            <w:tcW w:w="959" w:type="dxa"/>
            <w:tcBorders>
              <w:top w:val="nil"/>
              <w:left w:val="nil"/>
              <w:bottom w:val="single" w:sz="4" w:space="0" w:color="000000"/>
              <w:right w:val="nil"/>
            </w:tcBorders>
            <w:shd w:val="clear" w:color="auto" w:fill="auto"/>
            <w:vAlign w:val="bottom"/>
          </w:tcPr>
          <w:p w:rsidR="00222F36" w:rsidRDefault="000B682F">
            <w:pPr>
              <w:jc w:val="right"/>
              <w:rPr>
                <w:color w:val="000000"/>
              </w:rPr>
            </w:pPr>
            <w:r>
              <w:rPr>
                <w:color w:val="000000"/>
              </w:rPr>
              <w:t>70.48</w:t>
            </w:r>
          </w:p>
        </w:tc>
        <w:tc>
          <w:tcPr>
            <w:tcW w:w="981" w:type="dxa"/>
            <w:tcBorders>
              <w:top w:val="nil"/>
              <w:left w:val="nil"/>
              <w:bottom w:val="single" w:sz="4" w:space="0" w:color="000000"/>
              <w:right w:val="nil"/>
            </w:tcBorders>
            <w:shd w:val="clear" w:color="auto" w:fill="auto"/>
            <w:vAlign w:val="bottom"/>
          </w:tcPr>
          <w:p w:rsidR="00222F36" w:rsidRDefault="000B682F">
            <w:pPr>
              <w:jc w:val="right"/>
              <w:rPr>
                <w:color w:val="000000"/>
              </w:rPr>
            </w:pPr>
            <w:r>
              <w:rPr>
                <w:color w:val="000000"/>
              </w:rPr>
              <w:t>20.20</w:t>
            </w:r>
          </w:p>
        </w:tc>
      </w:tr>
      <w:tr w:rsidR="00222F36">
        <w:trPr>
          <w:trHeight w:val="300"/>
          <w:jc w:val="center"/>
        </w:trPr>
        <w:tc>
          <w:tcPr>
            <w:tcW w:w="7545" w:type="dxa"/>
            <w:gridSpan w:val="11"/>
            <w:tcBorders>
              <w:top w:val="single" w:sz="4" w:space="0" w:color="000000"/>
              <w:left w:val="nil"/>
              <w:bottom w:val="nil"/>
              <w:right w:val="nil"/>
            </w:tcBorders>
            <w:vAlign w:val="center"/>
          </w:tcPr>
          <w:p w:rsidR="00222F36" w:rsidRDefault="000B682F">
            <w:pPr>
              <w:jc w:val="left"/>
            </w:pPr>
            <w:r>
              <w:rPr>
                <w:color w:val="000000"/>
                <w:sz w:val="16"/>
                <w:szCs w:val="16"/>
              </w:rPr>
              <w:t>Notes: Numbers reported are in percentages. Lowercase variables are in logarithms.</w:t>
            </w:r>
          </w:p>
        </w:tc>
      </w:tr>
    </w:tbl>
    <w:p w:rsidR="00222F36" w:rsidRDefault="00222F36">
      <w:pPr>
        <w:jc w:val="center"/>
      </w:pPr>
    </w:p>
    <w:p w:rsidR="00222F36" w:rsidRDefault="000B682F">
      <w:r>
        <w:tab/>
        <w:t xml:space="preserve">Finally, Garcia (2013) (see references in main paper), constructed a LM-based sentiment series for the NYT based on two important financial columns. The next results reports what happens when we replace our A/A-based sentiment derived from the NYT with Garcia’s series. The addition of Garcia’s financial-centric NYT sentiment index (using the LM lexicon) does not significantly change the impact of our A/A-based sentiment index. The FEVD for the A/A-based sentiment index derived from the WSJ is shown in Table </w:t>
      </w:r>
      <w:r>
        <w:lastRenderedPageBreak/>
        <w:t xml:space="preserve">A10. Except for the stock market, the results are qualitatively similar to the results reported in the main paper. Our interpretation of these results are that the information contained in our A/A-based sentiment index that is derived from the WSJ is largely orthogonal to the financial information contained in the NYT. </w:t>
      </w:r>
    </w:p>
    <w:p w:rsidR="00222F36" w:rsidRDefault="000B682F">
      <w:r>
        <w:rPr>
          <w:b/>
        </w:rPr>
        <w:t xml:space="preserve">Table A10: FEVD of a shock to Sentiment for Model with Garcia and A/A-based WSJ sentiment </w:t>
      </w:r>
    </w:p>
    <w:tbl>
      <w:tblPr>
        <w:tblStyle w:val="ac"/>
        <w:tblW w:w="7460" w:type="dxa"/>
        <w:jc w:val="center"/>
        <w:tblBorders>
          <w:top w:val="nil"/>
          <w:left w:val="nil"/>
          <w:bottom w:val="nil"/>
          <w:right w:val="nil"/>
          <w:insideH w:val="nil"/>
          <w:insideV w:val="nil"/>
        </w:tblBorders>
        <w:tblLayout w:type="fixed"/>
        <w:tblLook w:val="0400" w:firstRow="0" w:lastRow="0" w:firstColumn="0" w:lastColumn="0" w:noHBand="0" w:noVBand="1"/>
      </w:tblPr>
      <w:tblGrid>
        <w:gridCol w:w="739"/>
        <w:gridCol w:w="566"/>
        <w:gridCol w:w="694"/>
        <w:gridCol w:w="666"/>
        <w:gridCol w:w="566"/>
        <w:gridCol w:w="566"/>
        <w:gridCol w:w="626"/>
        <w:gridCol w:w="616"/>
        <w:gridCol w:w="566"/>
        <w:gridCol w:w="1034"/>
        <w:gridCol w:w="821"/>
      </w:tblGrid>
      <w:tr w:rsidR="00222F36">
        <w:trPr>
          <w:trHeight w:val="300"/>
          <w:jc w:val="center"/>
        </w:trPr>
        <w:tc>
          <w:tcPr>
            <w:tcW w:w="739" w:type="dxa"/>
            <w:vAlign w:val="center"/>
          </w:tcPr>
          <w:p w:rsidR="00222F36" w:rsidRDefault="000B682F">
            <w:pPr>
              <w:spacing w:line="240" w:lineRule="auto"/>
              <w:jc w:val="center"/>
              <w:rPr>
                <w:color w:val="000000"/>
              </w:rPr>
            </w:pPr>
            <w:r>
              <w:rPr>
                <w:color w:val="000000"/>
              </w:rPr>
              <w:t>Period</w:t>
            </w:r>
          </w:p>
        </w:tc>
        <w:tc>
          <w:tcPr>
            <w:tcW w:w="566" w:type="dxa"/>
            <w:vAlign w:val="center"/>
          </w:tcPr>
          <w:p w:rsidR="00222F36" w:rsidRDefault="000B682F">
            <w:pPr>
              <w:spacing w:line="240" w:lineRule="auto"/>
              <w:jc w:val="center"/>
              <w:rPr>
                <w:i/>
                <w:color w:val="000000"/>
              </w:rPr>
            </w:pPr>
            <w:r>
              <w:rPr>
                <w:i/>
                <w:color w:val="000000"/>
              </w:rPr>
              <w:t>ip</w:t>
            </w:r>
          </w:p>
        </w:tc>
        <w:tc>
          <w:tcPr>
            <w:tcW w:w="694" w:type="dxa"/>
            <w:vAlign w:val="center"/>
          </w:tcPr>
          <w:p w:rsidR="00222F36" w:rsidRDefault="000B682F">
            <w:pPr>
              <w:spacing w:line="240" w:lineRule="auto"/>
              <w:jc w:val="center"/>
              <w:rPr>
                <w:i/>
                <w:color w:val="000000"/>
              </w:rPr>
            </w:pPr>
            <w:r>
              <w:rPr>
                <w:i/>
                <w:color w:val="000000"/>
              </w:rPr>
              <w:t>sp500</w:t>
            </w:r>
          </w:p>
        </w:tc>
        <w:tc>
          <w:tcPr>
            <w:tcW w:w="666" w:type="dxa"/>
            <w:vAlign w:val="center"/>
          </w:tcPr>
          <w:p w:rsidR="00222F36" w:rsidRDefault="000B682F">
            <w:pPr>
              <w:spacing w:line="240" w:lineRule="auto"/>
              <w:jc w:val="center"/>
              <w:rPr>
                <w:i/>
                <w:color w:val="000000"/>
              </w:rPr>
            </w:pPr>
            <w:r>
              <w:rPr>
                <w:i/>
                <w:color w:val="000000"/>
              </w:rPr>
              <w:t>loans</w:t>
            </w:r>
          </w:p>
        </w:tc>
        <w:tc>
          <w:tcPr>
            <w:tcW w:w="566" w:type="dxa"/>
            <w:vAlign w:val="center"/>
          </w:tcPr>
          <w:p w:rsidR="00222F36" w:rsidRDefault="000B682F">
            <w:pPr>
              <w:spacing w:line="240" w:lineRule="auto"/>
              <w:jc w:val="center"/>
              <w:rPr>
                <w:i/>
                <w:color w:val="000000"/>
              </w:rPr>
            </w:pPr>
            <w:r>
              <w:rPr>
                <w:i/>
                <w:color w:val="000000"/>
              </w:rPr>
              <w:t>p</w:t>
            </w:r>
          </w:p>
        </w:tc>
        <w:tc>
          <w:tcPr>
            <w:tcW w:w="566" w:type="dxa"/>
            <w:vAlign w:val="center"/>
          </w:tcPr>
          <w:p w:rsidR="00222F36" w:rsidRDefault="000B682F">
            <w:pPr>
              <w:spacing w:line="240" w:lineRule="auto"/>
              <w:jc w:val="center"/>
              <w:rPr>
                <w:color w:val="000000"/>
              </w:rPr>
            </w:pPr>
            <w:r>
              <w:rPr>
                <w:color w:val="000000"/>
                <w:sz w:val="24"/>
                <w:szCs w:val="24"/>
              </w:rPr>
              <w:object w:dxaOrig="350" w:dyaOrig="250">
                <v:shape id="_x0000_i1147" type="#_x0000_t75" style="width:17.55pt;height:12.5pt" o:ole="">
                  <v:imagedata r:id="rId27" o:title=""/>
                </v:shape>
                <o:OLEObject Type="Embed" ProgID="Equation.DSMT4" ShapeID="_x0000_i1147" DrawAspect="Content" ObjectID="_1707118246" r:id="rId251"/>
              </w:object>
            </w:r>
          </w:p>
        </w:tc>
        <w:tc>
          <w:tcPr>
            <w:tcW w:w="626" w:type="dxa"/>
            <w:vAlign w:val="center"/>
          </w:tcPr>
          <w:p w:rsidR="00222F36" w:rsidRDefault="000B682F">
            <w:pPr>
              <w:spacing w:line="240" w:lineRule="auto"/>
              <w:jc w:val="center"/>
              <w:rPr>
                <w:color w:val="000000"/>
              </w:rPr>
            </w:pPr>
            <w:r>
              <w:rPr>
                <w:color w:val="000000"/>
                <w:sz w:val="24"/>
                <w:szCs w:val="24"/>
              </w:rPr>
              <w:object w:dxaOrig="410" w:dyaOrig="250">
                <v:shape id="_x0000_i1148" type="#_x0000_t75" style="width:20.65pt;height:12.5pt" o:ole="">
                  <v:imagedata r:id="rId29" o:title=""/>
                </v:shape>
                <o:OLEObject Type="Embed" ProgID="Equation.DSMT4" ShapeID="_x0000_i1148" DrawAspect="Content" ObjectID="_1707118247" r:id="rId252"/>
              </w:object>
            </w:r>
          </w:p>
        </w:tc>
        <w:tc>
          <w:tcPr>
            <w:tcW w:w="616" w:type="dxa"/>
            <w:vAlign w:val="center"/>
          </w:tcPr>
          <w:p w:rsidR="00222F36" w:rsidRDefault="000B682F">
            <w:pPr>
              <w:spacing w:line="240" w:lineRule="auto"/>
              <w:jc w:val="center"/>
              <w:rPr>
                <w:color w:val="000000"/>
              </w:rPr>
            </w:pPr>
            <w:r>
              <w:rPr>
                <w:color w:val="000000"/>
                <w:sz w:val="24"/>
                <w:szCs w:val="24"/>
              </w:rPr>
              <w:object w:dxaOrig="400" w:dyaOrig="250">
                <v:shape id="_x0000_i1149" type="#_x0000_t75" style="width:20.05pt;height:12.5pt" o:ole="">
                  <v:imagedata r:id="rId31" o:title=""/>
                </v:shape>
                <o:OLEObject Type="Embed" ProgID="Equation.DSMT4" ShapeID="_x0000_i1149" DrawAspect="Content" ObjectID="_1707118248" r:id="rId253"/>
              </w:object>
            </w:r>
          </w:p>
        </w:tc>
        <w:tc>
          <w:tcPr>
            <w:tcW w:w="566" w:type="dxa"/>
            <w:vAlign w:val="center"/>
          </w:tcPr>
          <w:p w:rsidR="00222F36" w:rsidRDefault="000B682F">
            <w:pPr>
              <w:spacing w:line="240" w:lineRule="auto"/>
              <w:jc w:val="center"/>
              <w:rPr>
                <w:i/>
                <w:color w:val="000000"/>
                <w:sz w:val="16"/>
                <w:szCs w:val="16"/>
              </w:rPr>
            </w:pPr>
            <w:r>
              <w:rPr>
                <w:i/>
                <w:color w:val="000000"/>
                <w:sz w:val="16"/>
                <w:szCs w:val="16"/>
              </w:rPr>
              <w:t>EPU</w:t>
            </w:r>
          </w:p>
        </w:tc>
        <w:tc>
          <w:tcPr>
            <w:tcW w:w="1034" w:type="dxa"/>
            <w:vAlign w:val="center"/>
          </w:tcPr>
          <w:p w:rsidR="00222F36" w:rsidRDefault="000B682F">
            <w:pPr>
              <w:spacing w:line="240" w:lineRule="auto"/>
              <w:jc w:val="center"/>
              <w:rPr>
                <w:i/>
                <w:color w:val="000000"/>
                <w:sz w:val="16"/>
                <w:szCs w:val="16"/>
              </w:rPr>
            </w:pPr>
            <w:r>
              <w:rPr>
                <w:i/>
                <w:color w:val="000000"/>
                <w:sz w:val="16"/>
                <w:szCs w:val="16"/>
              </w:rPr>
              <w:t>S</w:t>
            </w:r>
            <w:r>
              <w:rPr>
                <w:i/>
                <w:color w:val="000000"/>
                <w:sz w:val="16"/>
                <w:szCs w:val="16"/>
                <w:vertAlign w:val="superscript"/>
              </w:rPr>
              <w:t>NYT</w:t>
            </w:r>
            <w:r>
              <w:rPr>
                <w:i/>
                <w:color w:val="000000"/>
                <w:sz w:val="16"/>
                <w:szCs w:val="16"/>
              </w:rPr>
              <w:t>(Garcia)</w:t>
            </w:r>
          </w:p>
        </w:tc>
        <w:tc>
          <w:tcPr>
            <w:tcW w:w="821" w:type="dxa"/>
            <w:vAlign w:val="center"/>
          </w:tcPr>
          <w:p w:rsidR="00222F36" w:rsidRDefault="000B682F">
            <w:pPr>
              <w:spacing w:line="240" w:lineRule="auto"/>
              <w:jc w:val="center"/>
              <w:rPr>
                <w:i/>
                <w:color w:val="000000"/>
                <w:sz w:val="16"/>
                <w:szCs w:val="16"/>
              </w:rPr>
            </w:pPr>
            <w:r>
              <w:rPr>
                <w:i/>
                <w:color w:val="000000"/>
                <w:sz w:val="16"/>
                <w:szCs w:val="16"/>
              </w:rPr>
              <w:t>S</w:t>
            </w:r>
            <w:r>
              <w:rPr>
                <w:i/>
                <w:color w:val="000000"/>
                <w:sz w:val="16"/>
                <w:szCs w:val="16"/>
                <w:vertAlign w:val="superscript"/>
              </w:rPr>
              <w:t>WSJ</w:t>
            </w:r>
            <w:r>
              <w:rPr>
                <w:i/>
                <w:color w:val="000000"/>
                <w:sz w:val="16"/>
                <w:szCs w:val="16"/>
              </w:rPr>
              <w:t>(A/A)</w:t>
            </w:r>
          </w:p>
        </w:tc>
      </w:tr>
      <w:tr w:rsidR="00222F36">
        <w:trPr>
          <w:trHeight w:val="300"/>
          <w:jc w:val="center"/>
        </w:trPr>
        <w:tc>
          <w:tcPr>
            <w:tcW w:w="739" w:type="dxa"/>
          </w:tcPr>
          <w:p w:rsidR="00222F36" w:rsidRDefault="000B682F">
            <w:pPr>
              <w:jc w:val="center"/>
            </w:pPr>
            <w:r>
              <w:t>1</w:t>
            </w:r>
          </w:p>
        </w:tc>
        <w:tc>
          <w:tcPr>
            <w:tcW w:w="566" w:type="dxa"/>
          </w:tcPr>
          <w:p w:rsidR="00222F36" w:rsidRDefault="000B682F">
            <w:pPr>
              <w:jc w:val="center"/>
            </w:pPr>
            <w:r>
              <w:t>0.00</w:t>
            </w:r>
          </w:p>
        </w:tc>
        <w:tc>
          <w:tcPr>
            <w:tcW w:w="694" w:type="dxa"/>
          </w:tcPr>
          <w:p w:rsidR="00222F36" w:rsidRDefault="000B682F">
            <w:pPr>
              <w:jc w:val="center"/>
            </w:pPr>
            <w:r>
              <w:t>0.00</w:t>
            </w:r>
          </w:p>
        </w:tc>
        <w:tc>
          <w:tcPr>
            <w:tcW w:w="666" w:type="dxa"/>
          </w:tcPr>
          <w:p w:rsidR="00222F36" w:rsidRDefault="000B682F">
            <w:pPr>
              <w:jc w:val="center"/>
            </w:pPr>
            <w:r>
              <w:t>0.00</w:t>
            </w:r>
          </w:p>
        </w:tc>
        <w:tc>
          <w:tcPr>
            <w:tcW w:w="566" w:type="dxa"/>
          </w:tcPr>
          <w:p w:rsidR="00222F36" w:rsidRDefault="000B682F">
            <w:pPr>
              <w:jc w:val="center"/>
            </w:pPr>
            <w:r>
              <w:t>0.00</w:t>
            </w:r>
          </w:p>
        </w:tc>
        <w:tc>
          <w:tcPr>
            <w:tcW w:w="566" w:type="dxa"/>
          </w:tcPr>
          <w:p w:rsidR="00222F36" w:rsidRDefault="000B682F">
            <w:pPr>
              <w:jc w:val="center"/>
            </w:pPr>
            <w:r>
              <w:t>0.00</w:t>
            </w:r>
          </w:p>
        </w:tc>
        <w:tc>
          <w:tcPr>
            <w:tcW w:w="626" w:type="dxa"/>
          </w:tcPr>
          <w:p w:rsidR="00222F36" w:rsidRDefault="000B682F">
            <w:pPr>
              <w:jc w:val="center"/>
            </w:pPr>
            <w:r>
              <w:t>0.00</w:t>
            </w:r>
          </w:p>
        </w:tc>
        <w:tc>
          <w:tcPr>
            <w:tcW w:w="616" w:type="dxa"/>
          </w:tcPr>
          <w:p w:rsidR="00222F36" w:rsidRDefault="000B682F">
            <w:pPr>
              <w:jc w:val="center"/>
            </w:pPr>
            <w:r>
              <w:t>0.00</w:t>
            </w:r>
          </w:p>
        </w:tc>
        <w:tc>
          <w:tcPr>
            <w:tcW w:w="566" w:type="dxa"/>
          </w:tcPr>
          <w:p w:rsidR="00222F36" w:rsidRDefault="000B682F">
            <w:pPr>
              <w:jc w:val="center"/>
            </w:pPr>
            <w:r>
              <w:t>0.00</w:t>
            </w:r>
          </w:p>
        </w:tc>
        <w:tc>
          <w:tcPr>
            <w:tcW w:w="1034" w:type="dxa"/>
          </w:tcPr>
          <w:p w:rsidR="00222F36" w:rsidRDefault="000B682F">
            <w:pPr>
              <w:jc w:val="center"/>
            </w:pPr>
            <w:r>
              <w:t>0.00</w:t>
            </w:r>
          </w:p>
        </w:tc>
        <w:tc>
          <w:tcPr>
            <w:tcW w:w="821" w:type="dxa"/>
          </w:tcPr>
          <w:p w:rsidR="00222F36" w:rsidRDefault="000B682F">
            <w:pPr>
              <w:jc w:val="center"/>
            </w:pPr>
            <w:r>
              <w:t>78.83</w:t>
            </w:r>
          </w:p>
        </w:tc>
      </w:tr>
      <w:tr w:rsidR="00222F36">
        <w:trPr>
          <w:trHeight w:val="300"/>
          <w:jc w:val="center"/>
        </w:trPr>
        <w:tc>
          <w:tcPr>
            <w:tcW w:w="739" w:type="dxa"/>
          </w:tcPr>
          <w:p w:rsidR="00222F36" w:rsidRDefault="000B682F">
            <w:pPr>
              <w:jc w:val="center"/>
            </w:pPr>
            <w:r>
              <w:t>2</w:t>
            </w:r>
          </w:p>
        </w:tc>
        <w:tc>
          <w:tcPr>
            <w:tcW w:w="566" w:type="dxa"/>
          </w:tcPr>
          <w:p w:rsidR="00222F36" w:rsidRDefault="000B682F">
            <w:pPr>
              <w:jc w:val="center"/>
            </w:pPr>
            <w:r>
              <w:t>0.86</w:t>
            </w:r>
          </w:p>
        </w:tc>
        <w:tc>
          <w:tcPr>
            <w:tcW w:w="694" w:type="dxa"/>
          </w:tcPr>
          <w:p w:rsidR="00222F36" w:rsidRDefault="000B682F">
            <w:pPr>
              <w:jc w:val="center"/>
            </w:pPr>
            <w:r>
              <w:t>0.04</w:t>
            </w:r>
          </w:p>
        </w:tc>
        <w:tc>
          <w:tcPr>
            <w:tcW w:w="666" w:type="dxa"/>
          </w:tcPr>
          <w:p w:rsidR="00222F36" w:rsidRDefault="000B682F">
            <w:pPr>
              <w:jc w:val="center"/>
            </w:pPr>
            <w:r>
              <w:t>1.00</w:t>
            </w:r>
          </w:p>
        </w:tc>
        <w:tc>
          <w:tcPr>
            <w:tcW w:w="566" w:type="dxa"/>
          </w:tcPr>
          <w:p w:rsidR="00222F36" w:rsidRDefault="000B682F">
            <w:pPr>
              <w:jc w:val="center"/>
            </w:pPr>
            <w:r>
              <w:t>0.02</w:t>
            </w:r>
          </w:p>
        </w:tc>
        <w:tc>
          <w:tcPr>
            <w:tcW w:w="566" w:type="dxa"/>
          </w:tcPr>
          <w:p w:rsidR="00222F36" w:rsidRDefault="000B682F">
            <w:pPr>
              <w:jc w:val="center"/>
            </w:pPr>
            <w:r>
              <w:t>0.05</w:t>
            </w:r>
          </w:p>
        </w:tc>
        <w:tc>
          <w:tcPr>
            <w:tcW w:w="626" w:type="dxa"/>
          </w:tcPr>
          <w:p w:rsidR="00222F36" w:rsidRDefault="000B682F">
            <w:pPr>
              <w:jc w:val="center"/>
            </w:pPr>
            <w:r>
              <w:t>0.05</w:t>
            </w:r>
          </w:p>
        </w:tc>
        <w:tc>
          <w:tcPr>
            <w:tcW w:w="616" w:type="dxa"/>
          </w:tcPr>
          <w:p w:rsidR="00222F36" w:rsidRDefault="000B682F">
            <w:pPr>
              <w:jc w:val="center"/>
            </w:pPr>
            <w:r>
              <w:t>0.09</w:t>
            </w:r>
          </w:p>
        </w:tc>
        <w:tc>
          <w:tcPr>
            <w:tcW w:w="566" w:type="dxa"/>
          </w:tcPr>
          <w:p w:rsidR="00222F36" w:rsidRDefault="000B682F">
            <w:pPr>
              <w:jc w:val="center"/>
            </w:pPr>
            <w:r>
              <w:t>1.58</w:t>
            </w:r>
          </w:p>
        </w:tc>
        <w:tc>
          <w:tcPr>
            <w:tcW w:w="1034" w:type="dxa"/>
          </w:tcPr>
          <w:p w:rsidR="00222F36" w:rsidRDefault="000B682F">
            <w:pPr>
              <w:jc w:val="center"/>
            </w:pPr>
            <w:r>
              <w:t>1.16</w:t>
            </w:r>
          </w:p>
        </w:tc>
        <w:tc>
          <w:tcPr>
            <w:tcW w:w="821" w:type="dxa"/>
          </w:tcPr>
          <w:p w:rsidR="00222F36" w:rsidRDefault="000B682F">
            <w:pPr>
              <w:jc w:val="center"/>
            </w:pPr>
            <w:r>
              <w:t>77.03</w:t>
            </w:r>
          </w:p>
        </w:tc>
      </w:tr>
      <w:tr w:rsidR="00222F36">
        <w:trPr>
          <w:trHeight w:val="300"/>
          <w:jc w:val="center"/>
        </w:trPr>
        <w:tc>
          <w:tcPr>
            <w:tcW w:w="739" w:type="dxa"/>
          </w:tcPr>
          <w:p w:rsidR="00222F36" w:rsidRDefault="000B682F">
            <w:pPr>
              <w:jc w:val="center"/>
            </w:pPr>
            <w:r>
              <w:t>3</w:t>
            </w:r>
          </w:p>
        </w:tc>
        <w:tc>
          <w:tcPr>
            <w:tcW w:w="566" w:type="dxa"/>
          </w:tcPr>
          <w:p w:rsidR="00222F36" w:rsidRDefault="000B682F">
            <w:pPr>
              <w:jc w:val="center"/>
            </w:pPr>
            <w:r>
              <w:t>1.95</w:t>
            </w:r>
          </w:p>
        </w:tc>
        <w:tc>
          <w:tcPr>
            <w:tcW w:w="694" w:type="dxa"/>
          </w:tcPr>
          <w:p w:rsidR="00222F36" w:rsidRDefault="000B682F">
            <w:pPr>
              <w:jc w:val="center"/>
            </w:pPr>
            <w:r>
              <w:t>0.02</w:t>
            </w:r>
          </w:p>
        </w:tc>
        <w:tc>
          <w:tcPr>
            <w:tcW w:w="666" w:type="dxa"/>
          </w:tcPr>
          <w:p w:rsidR="00222F36" w:rsidRDefault="000B682F">
            <w:pPr>
              <w:jc w:val="center"/>
            </w:pPr>
            <w:r>
              <w:t>5.24</w:t>
            </w:r>
          </w:p>
        </w:tc>
        <w:tc>
          <w:tcPr>
            <w:tcW w:w="566" w:type="dxa"/>
          </w:tcPr>
          <w:p w:rsidR="00222F36" w:rsidRDefault="000B682F">
            <w:pPr>
              <w:jc w:val="center"/>
            </w:pPr>
            <w:r>
              <w:t>0.02</w:t>
            </w:r>
          </w:p>
        </w:tc>
        <w:tc>
          <w:tcPr>
            <w:tcW w:w="566" w:type="dxa"/>
          </w:tcPr>
          <w:p w:rsidR="00222F36" w:rsidRDefault="000B682F">
            <w:pPr>
              <w:jc w:val="center"/>
            </w:pPr>
            <w:r>
              <w:t>0.05</w:t>
            </w:r>
          </w:p>
        </w:tc>
        <w:tc>
          <w:tcPr>
            <w:tcW w:w="626" w:type="dxa"/>
          </w:tcPr>
          <w:p w:rsidR="00222F36" w:rsidRDefault="000B682F">
            <w:pPr>
              <w:jc w:val="center"/>
            </w:pPr>
            <w:r>
              <w:t>0.05</w:t>
            </w:r>
          </w:p>
        </w:tc>
        <w:tc>
          <w:tcPr>
            <w:tcW w:w="616" w:type="dxa"/>
          </w:tcPr>
          <w:p w:rsidR="00222F36" w:rsidRDefault="000B682F">
            <w:pPr>
              <w:jc w:val="center"/>
            </w:pPr>
            <w:r>
              <w:t>0.68</w:t>
            </w:r>
          </w:p>
        </w:tc>
        <w:tc>
          <w:tcPr>
            <w:tcW w:w="566" w:type="dxa"/>
          </w:tcPr>
          <w:p w:rsidR="00222F36" w:rsidRDefault="000B682F">
            <w:pPr>
              <w:jc w:val="center"/>
            </w:pPr>
            <w:r>
              <w:t>1.37</w:t>
            </w:r>
          </w:p>
        </w:tc>
        <w:tc>
          <w:tcPr>
            <w:tcW w:w="1034" w:type="dxa"/>
          </w:tcPr>
          <w:p w:rsidR="00222F36" w:rsidRDefault="000B682F">
            <w:pPr>
              <w:jc w:val="center"/>
            </w:pPr>
            <w:r>
              <w:t>3.38</w:t>
            </w:r>
          </w:p>
        </w:tc>
        <w:tc>
          <w:tcPr>
            <w:tcW w:w="821" w:type="dxa"/>
          </w:tcPr>
          <w:p w:rsidR="00222F36" w:rsidRDefault="000B682F">
            <w:pPr>
              <w:jc w:val="center"/>
            </w:pPr>
            <w:r>
              <w:t>75.07</w:t>
            </w:r>
          </w:p>
        </w:tc>
      </w:tr>
      <w:tr w:rsidR="00222F36">
        <w:trPr>
          <w:trHeight w:val="300"/>
          <w:jc w:val="center"/>
        </w:trPr>
        <w:tc>
          <w:tcPr>
            <w:tcW w:w="739" w:type="dxa"/>
          </w:tcPr>
          <w:p w:rsidR="00222F36" w:rsidRDefault="000B682F">
            <w:pPr>
              <w:jc w:val="center"/>
            </w:pPr>
            <w:r>
              <w:t>4</w:t>
            </w:r>
          </w:p>
        </w:tc>
        <w:tc>
          <w:tcPr>
            <w:tcW w:w="566" w:type="dxa"/>
          </w:tcPr>
          <w:p w:rsidR="00222F36" w:rsidRDefault="000B682F">
            <w:pPr>
              <w:jc w:val="center"/>
            </w:pPr>
            <w:r>
              <w:t>3.26</w:t>
            </w:r>
          </w:p>
        </w:tc>
        <w:tc>
          <w:tcPr>
            <w:tcW w:w="694" w:type="dxa"/>
          </w:tcPr>
          <w:p w:rsidR="00222F36" w:rsidRDefault="000B682F">
            <w:pPr>
              <w:jc w:val="center"/>
            </w:pPr>
            <w:r>
              <w:t>0.10</w:t>
            </w:r>
          </w:p>
        </w:tc>
        <w:tc>
          <w:tcPr>
            <w:tcW w:w="666" w:type="dxa"/>
          </w:tcPr>
          <w:p w:rsidR="00222F36" w:rsidRDefault="000B682F">
            <w:pPr>
              <w:jc w:val="center"/>
            </w:pPr>
            <w:r>
              <w:t>9.25</w:t>
            </w:r>
          </w:p>
        </w:tc>
        <w:tc>
          <w:tcPr>
            <w:tcW w:w="566" w:type="dxa"/>
          </w:tcPr>
          <w:p w:rsidR="00222F36" w:rsidRDefault="000B682F">
            <w:pPr>
              <w:jc w:val="center"/>
            </w:pPr>
            <w:r>
              <w:t>0.02</w:t>
            </w:r>
          </w:p>
        </w:tc>
        <w:tc>
          <w:tcPr>
            <w:tcW w:w="566" w:type="dxa"/>
          </w:tcPr>
          <w:p w:rsidR="00222F36" w:rsidRDefault="000B682F">
            <w:pPr>
              <w:jc w:val="center"/>
            </w:pPr>
            <w:r>
              <w:t>0.07</w:t>
            </w:r>
          </w:p>
        </w:tc>
        <w:tc>
          <w:tcPr>
            <w:tcW w:w="626" w:type="dxa"/>
          </w:tcPr>
          <w:p w:rsidR="00222F36" w:rsidRDefault="000B682F">
            <w:pPr>
              <w:jc w:val="center"/>
            </w:pPr>
            <w:r>
              <w:t>0.07</w:t>
            </w:r>
          </w:p>
        </w:tc>
        <w:tc>
          <w:tcPr>
            <w:tcW w:w="616" w:type="dxa"/>
          </w:tcPr>
          <w:p w:rsidR="00222F36" w:rsidRDefault="000B682F">
            <w:pPr>
              <w:jc w:val="center"/>
            </w:pPr>
            <w:r>
              <w:t>1.49</w:t>
            </w:r>
          </w:p>
        </w:tc>
        <w:tc>
          <w:tcPr>
            <w:tcW w:w="566" w:type="dxa"/>
          </w:tcPr>
          <w:p w:rsidR="00222F36" w:rsidRDefault="000B682F">
            <w:pPr>
              <w:jc w:val="center"/>
            </w:pPr>
            <w:r>
              <w:t>1.22</w:t>
            </w:r>
          </w:p>
        </w:tc>
        <w:tc>
          <w:tcPr>
            <w:tcW w:w="1034" w:type="dxa"/>
          </w:tcPr>
          <w:p w:rsidR="00222F36" w:rsidRDefault="000B682F">
            <w:pPr>
              <w:jc w:val="center"/>
            </w:pPr>
            <w:r>
              <w:t>5.55</w:t>
            </w:r>
          </w:p>
        </w:tc>
        <w:tc>
          <w:tcPr>
            <w:tcW w:w="821" w:type="dxa"/>
          </w:tcPr>
          <w:p w:rsidR="00222F36" w:rsidRDefault="000B682F">
            <w:pPr>
              <w:jc w:val="center"/>
            </w:pPr>
            <w:r>
              <w:t>73.43</w:t>
            </w:r>
          </w:p>
        </w:tc>
      </w:tr>
      <w:tr w:rsidR="00222F36">
        <w:trPr>
          <w:trHeight w:val="300"/>
          <w:jc w:val="center"/>
        </w:trPr>
        <w:tc>
          <w:tcPr>
            <w:tcW w:w="739" w:type="dxa"/>
          </w:tcPr>
          <w:p w:rsidR="00222F36" w:rsidRDefault="000B682F">
            <w:pPr>
              <w:jc w:val="center"/>
            </w:pPr>
            <w:r>
              <w:t>5</w:t>
            </w:r>
          </w:p>
        </w:tc>
        <w:tc>
          <w:tcPr>
            <w:tcW w:w="566" w:type="dxa"/>
          </w:tcPr>
          <w:p w:rsidR="00222F36" w:rsidRDefault="000B682F">
            <w:pPr>
              <w:jc w:val="center"/>
            </w:pPr>
            <w:r>
              <w:t>4.48</w:t>
            </w:r>
          </w:p>
        </w:tc>
        <w:tc>
          <w:tcPr>
            <w:tcW w:w="694" w:type="dxa"/>
          </w:tcPr>
          <w:p w:rsidR="00222F36" w:rsidRDefault="000B682F">
            <w:pPr>
              <w:jc w:val="center"/>
            </w:pPr>
            <w:r>
              <w:t>0.21</w:t>
            </w:r>
          </w:p>
        </w:tc>
        <w:tc>
          <w:tcPr>
            <w:tcW w:w="666" w:type="dxa"/>
          </w:tcPr>
          <w:p w:rsidR="00222F36" w:rsidRDefault="000B682F">
            <w:pPr>
              <w:jc w:val="center"/>
            </w:pPr>
            <w:r>
              <w:t>12.52</w:t>
            </w:r>
          </w:p>
        </w:tc>
        <w:tc>
          <w:tcPr>
            <w:tcW w:w="566" w:type="dxa"/>
          </w:tcPr>
          <w:p w:rsidR="00222F36" w:rsidRDefault="000B682F">
            <w:pPr>
              <w:jc w:val="center"/>
            </w:pPr>
            <w:r>
              <w:t>0.04</w:t>
            </w:r>
          </w:p>
        </w:tc>
        <w:tc>
          <w:tcPr>
            <w:tcW w:w="566" w:type="dxa"/>
          </w:tcPr>
          <w:p w:rsidR="00222F36" w:rsidRDefault="000B682F">
            <w:pPr>
              <w:jc w:val="center"/>
            </w:pPr>
            <w:r>
              <w:t>0.09</w:t>
            </w:r>
          </w:p>
        </w:tc>
        <w:tc>
          <w:tcPr>
            <w:tcW w:w="626" w:type="dxa"/>
          </w:tcPr>
          <w:p w:rsidR="00222F36" w:rsidRDefault="000B682F">
            <w:pPr>
              <w:jc w:val="center"/>
            </w:pPr>
            <w:r>
              <w:t>0.08</w:t>
            </w:r>
          </w:p>
        </w:tc>
        <w:tc>
          <w:tcPr>
            <w:tcW w:w="616" w:type="dxa"/>
          </w:tcPr>
          <w:p w:rsidR="00222F36" w:rsidRDefault="000B682F">
            <w:pPr>
              <w:jc w:val="center"/>
            </w:pPr>
            <w:r>
              <w:t>2.00</w:t>
            </w:r>
          </w:p>
        </w:tc>
        <w:tc>
          <w:tcPr>
            <w:tcW w:w="566" w:type="dxa"/>
          </w:tcPr>
          <w:p w:rsidR="00222F36" w:rsidRDefault="000B682F">
            <w:pPr>
              <w:jc w:val="center"/>
            </w:pPr>
            <w:r>
              <w:t>1.14</w:t>
            </w:r>
          </w:p>
        </w:tc>
        <w:tc>
          <w:tcPr>
            <w:tcW w:w="1034" w:type="dxa"/>
          </w:tcPr>
          <w:p w:rsidR="00222F36" w:rsidRDefault="000B682F">
            <w:pPr>
              <w:jc w:val="center"/>
            </w:pPr>
            <w:r>
              <w:t>7.24</w:t>
            </w:r>
          </w:p>
        </w:tc>
        <w:tc>
          <w:tcPr>
            <w:tcW w:w="821" w:type="dxa"/>
          </w:tcPr>
          <w:p w:rsidR="00222F36" w:rsidRDefault="000B682F">
            <w:pPr>
              <w:jc w:val="center"/>
            </w:pPr>
            <w:r>
              <w:t>71.97</w:t>
            </w:r>
          </w:p>
        </w:tc>
      </w:tr>
      <w:tr w:rsidR="00222F36">
        <w:trPr>
          <w:trHeight w:val="300"/>
          <w:jc w:val="center"/>
        </w:trPr>
        <w:tc>
          <w:tcPr>
            <w:tcW w:w="739" w:type="dxa"/>
          </w:tcPr>
          <w:p w:rsidR="00222F36" w:rsidRDefault="000B682F">
            <w:pPr>
              <w:jc w:val="center"/>
            </w:pPr>
            <w:r>
              <w:t>10</w:t>
            </w:r>
          </w:p>
        </w:tc>
        <w:tc>
          <w:tcPr>
            <w:tcW w:w="566" w:type="dxa"/>
          </w:tcPr>
          <w:p w:rsidR="00222F36" w:rsidRDefault="000B682F">
            <w:pPr>
              <w:jc w:val="center"/>
            </w:pPr>
            <w:r>
              <w:t>7.59</w:t>
            </w:r>
          </w:p>
        </w:tc>
        <w:tc>
          <w:tcPr>
            <w:tcW w:w="694" w:type="dxa"/>
          </w:tcPr>
          <w:p w:rsidR="00222F36" w:rsidRDefault="000B682F">
            <w:pPr>
              <w:jc w:val="center"/>
            </w:pPr>
            <w:r>
              <w:t>0.30</w:t>
            </w:r>
          </w:p>
        </w:tc>
        <w:tc>
          <w:tcPr>
            <w:tcW w:w="666" w:type="dxa"/>
          </w:tcPr>
          <w:p w:rsidR="00222F36" w:rsidRDefault="000B682F">
            <w:pPr>
              <w:jc w:val="center"/>
            </w:pPr>
            <w:r>
              <w:t>17.84</w:t>
            </w:r>
          </w:p>
        </w:tc>
        <w:tc>
          <w:tcPr>
            <w:tcW w:w="566" w:type="dxa"/>
          </w:tcPr>
          <w:p w:rsidR="00222F36" w:rsidRDefault="000B682F">
            <w:pPr>
              <w:jc w:val="center"/>
            </w:pPr>
            <w:r>
              <w:t>0.49</w:t>
            </w:r>
          </w:p>
        </w:tc>
        <w:tc>
          <w:tcPr>
            <w:tcW w:w="566" w:type="dxa"/>
          </w:tcPr>
          <w:p w:rsidR="00222F36" w:rsidRDefault="000B682F">
            <w:pPr>
              <w:jc w:val="center"/>
            </w:pPr>
            <w:r>
              <w:t>0.18</w:t>
            </w:r>
          </w:p>
        </w:tc>
        <w:tc>
          <w:tcPr>
            <w:tcW w:w="626" w:type="dxa"/>
          </w:tcPr>
          <w:p w:rsidR="00222F36" w:rsidRDefault="000B682F">
            <w:pPr>
              <w:jc w:val="center"/>
            </w:pPr>
            <w:r>
              <w:t>0.14</w:t>
            </w:r>
          </w:p>
        </w:tc>
        <w:tc>
          <w:tcPr>
            <w:tcW w:w="616" w:type="dxa"/>
          </w:tcPr>
          <w:p w:rsidR="00222F36" w:rsidRDefault="000B682F">
            <w:pPr>
              <w:jc w:val="center"/>
            </w:pPr>
            <w:r>
              <w:t>1.65</w:t>
            </w:r>
          </w:p>
        </w:tc>
        <w:tc>
          <w:tcPr>
            <w:tcW w:w="566" w:type="dxa"/>
          </w:tcPr>
          <w:p w:rsidR="00222F36" w:rsidRDefault="000B682F">
            <w:pPr>
              <w:jc w:val="center"/>
            </w:pPr>
            <w:r>
              <w:t>2.33</w:t>
            </w:r>
          </w:p>
        </w:tc>
        <w:tc>
          <w:tcPr>
            <w:tcW w:w="1034" w:type="dxa"/>
          </w:tcPr>
          <w:p w:rsidR="00222F36" w:rsidRDefault="000B682F">
            <w:pPr>
              <w:jc w:val="center"/>
            </w:pPr>
            <w:r>
              <w:t>12.85</w:t>
            </w:r>
          </w:p>
        </w:tc>
        <w:tc>
          <w:tcPr>
            <w:tcW w:w="821" w:type="dxa"/>
          </w:tcPr>
          <w:p w:rsidR="00222F36" w:rsidRDefault="000B682F">
            <w:pPr>
              <w:jc w:val="center"/>
            </w:pPr>
            <w:r>
              <w:t>67.11</w:t>
            </w:r>
          </w:p>
        </w:tc>
      </w:tr>
      <w:tr w:rsidR="00222F36">
        <w:trPr>
          <w:trHeight w:val="300"/>
          <w:jc w:val="center"/>
        </w:trPr>
        <w:tc>
          <w:tcPr>
            <w:tcW w:w="739" w:type="dxa"/>
          </w:tcPr>
          <w:p w:rsidR="00222F36" w:rsidRDefault="000B682F">
            <w:pPr>
              <w:jc w:val="center"/>
            </w:pPr>
            <w:r>
              <w:t>15</w:t>
            </w:r>
          </w:p>
        </w:tc>
        <w:tc>
          <w:tcPr>
            <w:tcW w:w="566" w:type="dxa"/>
          </w:tcPr>
          <w:p w:rsidR="00222F36" w:rsidRDefault="000B682F">
            <w:pPr>
              <w:jc w:val="center"/>
            </w:pPr>
            <w:r>
              <w:t>7.92</w:t>
            </w:r>
          </w:p>
        </w:tc>
        <w:tc>
          <w:tcPr>
            <w:tcW w:w="694" w:type="dxa"/>
          </w:tcPr>
          <w:p w:rsidR="00222F36" w:rsidRDefault="000B682F">
            <w:pPr>
              <w:jc w:val="center"/>
            </w:pPr>
            <w:r>
              <w:t>0.27</w:t>
            </w:r>
          </w:p>
        </w:tc>
        <w:tc>
          <w:tcPr>
            <w:tcW w:w="666" w:type="dxa"/>
          </w:tcPr>
          <w:p w:rsidR="00222F36" w:rsidRDefault="000B682F">
            <w:pPr>
              <w:jc w:val="center"/>
            </w:pPr>
            <w:r>
              <w:t>17.93</w:t>
            </w:r>
          </w:p>
        </w:tc>
        <w:tc>
          <w:tcPr>
            <w:tcW w:w="566" w:type="dxa"/>
          </w:tcPr>
          <w:p w:rsidR="00222F36" w:rsidRDefault="000B682F">
            <w:pPr>
              <w:jc w:val="center"/>
            </w:pPr>
            <w:r>
              <w:t>0.90</w:t>
            </w:r>
          </w:p>
        </w:tc>
        <w:tc>
          <w:tcPr>
            <w:tcW w:w="566" w:type="dxa"/>
          </w:tcPr>
          <w:p w:rsidR="00222F36" w:rsidRDefault="000B682F">
            <w:pPr>
              <w:jc w:val="center"/>
            </w:pPr>
            <w:r>
              <w:t>0.39</w:t>
            </w:r>
          </w:p>
        </w:tc>
        <w:tc>
          <w:tcPr>
            <w:tcW w:w="626" w:type="dxa"/>
          </w:tcPr>
          <w:p w:rsidR="00222F36" w:rsidRDefault="000B682F">
            <w:pPr>
              <w:jc w:val="center"/>
            </w:pPr>
            <w:r>
              <w:t>0.30</w:t>
            </w:r>
          </w:p>
        </w:tc>
        <w:tc>
          <w:tcPr>
            <w:tcW w:w="616" w:type="dxa"/>
          </w:tcPr>
          <w:p w:rsidR="00222F36" w:rsidRDefault="000B682F">
            <w:pPr>
              <w:jc w:val="center"/>
            </w:pPr>
            <w:r>
              <w:t>1.34</w:t>
            </w:r>
          </w:p>
        </w:tc>
        <w:tc>
          <w:tcPr>
            <w:tcW w:w="566" w:type="dxa"/>
          </w:tcPr>
          <w:p w:rsidR="00222F36" w:rsidRDefault="000B682F">
            <w:pPr>
              <w:jc w:val="center"/>
            </w:pPr>
            <w:r>
              <w:t>2.46</w:t>
            </w:r>
          </w:p>
        </w:tc>
        <w:tc>
          <w:tcPr>
            <w:tcW w:w="1034" w:type="dxa"/>
          </w:tcPr>
          <w:p w:rsidR="00222F36" w:rsidRDefault="000B682F">
            <w:pPr>
              <w:jc w:val="center"/>
            </w:pPr>
            <w:r>
              <w:t>15.89</w:t>
            </w:r>
          </w:p>
        </w:tc>
        <w:tc>
          <w:tcPr>
            <w:tcW w:w="821" w:type="dxa"/>
          </w:tcPr>
          <w:p w:rsidR="00222F36" w:rsidRDefault="000B682F">
            <w:pPr>
              <w:jc w:val="center"/>
            </w:pPr>
            <w:r>
              <w:t>64.36</w:t>
            </w:r>
          </w:p>
        </w:tc>
      </w:tr>
      <w:tr w:rsidR="00222F36">
        <w:trPr>
          <w:trHeight w:val="300"/>
          <w:jc w:val="center"/>
        </w:trPr>
        <w:tc>
          <w:tcPr>
            <w:tcW w:w="739" w:type="dxa"/>
          </w:tcPr>
          <w:p w:rsidR="00222F36" w:rsidRDefault="000B682F">
            <w:pPr>
              <w:jc w:val="center"/>
            </w:pPr>
            <w:r>
              <w:t>20</w:t>
            </w:r>
          </w:p>
        </w:tc>
        <w:tc>
          <w:tcPr>
            <w:tcW w:w="566" w:type="dxa"/>
          </w:tcPr>
          <w:p w:rsidR="00222F36" w:rsidRDefault="000B682F">
            <w:pPr>
              <w:jc w:val="center"/>
            </w:pPr>
            <w:r>
              <w:t>7.79</w:t>
            </w:r>
          </w:p>
        </w:tc>
        <w:tc>
          <w:tcPr>
            <w:tcW w:w="694" w:type="dxa"/>
          </w:tcPr>
          <w:p w:rsidR="00222F36" w:rsidRDefault="000B682F">
            <w:pPr>
              <w:jc w:val="center"/>
            </w:pPr>
            <w:r>
              <w:t>0.24</w:t>
            </w:r>
          </w:p>
        </w:tc>
        <w:tc>
          <w:tcPr>
            <w:tcW w:w="666" w:type="dxa"/>
          </w:tcPr>
          <w:p w:rsidR="00222F36" w:rsidRDefault="000B682F">
            <w:pPr>
              <w:jc w:val="center"/>
            </w:pPr>
            <w:r>
              <w:t>17.42</w:t>
            </w:r>
          </w:p>
        </w:tc>
        <w:tc>
          <w:tcPr>
            <w:tcW w:w="566" w:type="dxa"/>
          </w:tcPr>
          <w:p w:rsidR="00222F36" w:rsidRDefault="000B682F">
            <w:pPr>
              <w:jc w:val="center"/>
            </w:pPr>
            <w:r>
              <w:t>1.13</w:t>
            </w:r>
          </w:p>
        </w:tc>
        <w:tc>
          <w:tcPr>
            <w:tcW w:w="566" w:type="dxa"/>
          </w:tcPr>
          <w:p w:rsidR="00222F36" w:rsidRDefault="000B682F">
            <w:pPr>
              <w:jc w:val="center"/>
            </w:pPr>
            <w:r>
              <w:t>0.61</w:t>
            </w:r>
          </w:p>
        </w:tc>
        <w:tc>
          <w:tcPr>
            <w:tcW w:w="626" w:type="dxa"/>
          </w:tcPr>
          <w:p w:rsidR="00222F36" w:rsidRDefault="000B682F">
            <w:pPr>
              <w:jc w:val="center"/>
            </w:pPr>
            <w:r>
              <w:t>0.46</w:t>
            </w:r>
          </w:p>
        </w:tc>
        <w:tc>
          <w:tcPr>
            <w:tcW w:w="616" w:type="dxa"/>
          </w:tcPr>
          <w:p w:rsidR="00222F36" w:rsidRDefault="000B682F">
            <w:pPr>
              <w:jc w:val="center"/>
            </w:pPr>
            <w:r>
              <w:t>1.27</w:t>
            </w:r>
          </w:p>
        </w:tc>
        <w:tc>
          <w:tcPr>
            <w:tcW w:w="566" w:type="dxa"/>
          </w:tcPr>
          <w:p w:rsidR="00222F36" w:rsidRDefault="000B682F">
            <w:pPr>
              <w:jc w:val="center"/>
            </w:pPr>
            <w:r>
              <w:t>2.43</w:t>
            </w:r>
          </w:p>
        </w:tc>
        <w:tc>
          <w:tcPr>
            <w:tcW w:w="1034" w:type="dxa"/>
          </w:tcPr>
          <w:p w:rsidR="00222F36" w:rsidRDefault="000B682F">
            <w:pPr>
              <w:jc w:val="center"/>
            </w:pPr>
            <w:r>
              <w:t>17.52</w:t>
            </w:r>
          </w:p>
        </w:tc>
        <w:tc>
          <w:tcPr>
            <w:tcW w:w="821" w:type="dxa"/>
          </w:tcPr>
          <w:p w:rsidR="00222F36" w:rsidRDefault="000B682F">
            <w:pPr>
              <w:jc w:val="center"/>
            </w:pPr>
            <w:r>
              <w:t>62.11</w:t>
            </w:r>
          </w:p>
        </w:tc>
      </w:tr>
      <w:tr w:rsidR="00222F36">
        <w:trPr>
          <w:trHeight w:val="300"/>
          <w:jc w:val="center"/>
        </w:trPr>
        <w:tc>
          <w:tcPr>
            <w:tcW w:w="7460" w:type="dxa"/>
            <w:gridSpan w:val="11"/>
            <w:vAlign w:val="center"/>
          </w:tcPr>
          <w:p w:rsidR="00222F36" w:rsidRDefault="000B682F">
            <w:pPr>
              <w:jc w:val="left"/>
            </w:pPr>
            <w:r>
              <w:rPr>
                <w:color w:val="000000"/>
                <w:sz w:val="16"/>
                <w:szCs w:val="16"/>
              </w:rPr>
              <w:t>Notes: Numbers reported are in percentages. Lowercase variables are in logarithms.</w:t>
            </w:r>
          </w:p>
        </w:tc>
      </w:tr>
    </w:tbl>
    <w:p w:rsidR="00222F36" w:rsidRDefault="00222F36">
      <w:pPr>
        <w:jc w:val="center"/>
      </w:pPr>
    </w:p>
    <w:p w:rsidR="002A7011" w:rsidRDefault="002A7011" w:rsidP="002A7011">
      <w:pPr>
        <w:spacing w:line="240" w:lineRule="auto"/>
        <w:jc w:val="left"/>
        <w:rPr>
          <w:rFonts w:ascii="Calibri" w:eastAsia="Calibri" w:hAnsi="Calibri"/>
          <w:sz w:val="22"/>
          <w:szCs w:val="21"/>
        </w:rPr>
      </w:pPr>
    </w:p>
    <w:p w:rsidR="002A7011" w:rsidRDefault="002A7011" w:rsidP="002A7011">
      <w:pPr>
        <w:spacing w:line="240" w:lineRule="auto"/>
        <w:jc w:val="left"/>
        <w:rPr>
          <w:rFonts w:ascii="Calibri" w:eastAsia="Calibri" w:hAnsi="Calibri"/>
          <w:sz w:val="22"/>
          <w:szCs w:val="21"/>
        </w:rPr>
      </w:pPr>
    </w:p>
    <w:p w:rsidR="002A7011" w:rsidRDefault="002A7011" w:rsidP="002A7011">
      <w:pPr>
        <w:spacing w:line="240" w:lineRule="auto"/>
        <w:jc w:val="left"/>
        <w:rPr>
          <w:rFonts w:ascii="Calibri" w:eastAsia="Calibri" w:hAnsi="Calibri"/>
          <w:sz w:val="22"/>
          <w:szCs w:val="21"/>
        </w:rPr>
      </w:pPr>
    </w:p>
    <w:p w:rsidR="002A7011" w:rsidRDefault="002A7011" w:rsidP="002A7011">
      <w:pPr>
        <w:spacing w:line="240" w:lineRule="auto"/>
        <w:jc w:val="left"/>
        <w:rPr>
          <w:rFonts w:ascii="Calibri" w:eastAsia="Calibri" w:hAnsi="Calibri"/>
          <w:sz w:val="22"/>
          <w:szCs w:val="21"/>
        </w:rPr>
      </w:pPr>
    </w:p>
    <w:p w:rsidR="002A7011" w:rsidRDefault="002A7011" w:rsidP="002A7011">
      <w:pPr>
        <w:spacing w:line="240" w:lineRule="auto"/>
        <w:jc w:val="left"/>
        <w:rPr>
          <w:rFonts w:ascii="Calibri" w:eastAsia="Calibri" w:hAnsi="Calibri"/>
          <w:sz w:val="22"/>
          <w:szCs w:val="21"/>
        </w:rPr>
      </w:pPr>
    </w:p>
    <w:p w:rsidR="002A7011" w:rsidRDefault="002A7011" w:rsidP="002A7011">
      <w:pPr>
        <w:spacing w:line="240" w:lineRule="auto"/>
        <w:jc w:val="left"/>
        <w:rPr>
          <w:rFonts w:ascii="Calibri" w:eastAsia="Calibri" w:hAnsi="Calibri"/>
          <w:sz w:val="22"/>
          <w:szCs w:val="21"/>
        </w:rPr>
      </w:pPr>
    </w:p>
    <w:p w:rsidR="002A7011" w:rsidRDefault="002A7011" w:rsidP="002A7011">
      <w:pPr>
        <w:spacing w:line="240" w:lineRule="auto"/>
        <w:jc w:val="left"/>
        <w:rPr>
          <w:rFonts w:ascii="Calibri" w:eastAsia="Calibri" w:hAnsi="Calibri"/>
          <w:sz w:val="22"/>
          <w:szCs w:val="21"/>
        </w:rPr>
      </w:pPr>
    </w:p>
    <w:p w:rsidR="002A7011" w:rsidRDefault="002A7011" w:rsidP="002A7011">
      <w:pPr>
        <w:spacing w:line="240" w:lineRule="auto"/>
        <w:jc w:val="left"/>
        <w:rPr>
          <w:rFonts w:ascii="Calibri" w:eastAsia="Calibri" w:hAnsi="Calibri"/>
          <w:sz w:val="22"/>
          <w:szCs w:val="21"/>
        </w:rPr>
      </w:pPr>
    </w:p>
    <w:p w:rsidR="002A7011" w:rsidRDefault="002A7011" w:rsidP="002A7011">
      <w:pPr>
        <w:spacing w:line="240" w:lineRule="auto"/>
        <w:jc w:val="left"/>
        <w:rPr>
          <w:rFonts w:ascii="Calibri" w:eastAsia="Calibri" w:hAnsi="Calibri"/>
          <w:sz w:val="22"/>
          <w:szCs w:val="21"/>
        </w:rPr>
      </w:pPr>
    </w:p>
    <w:p w:rsidR="002A7011" w:rsidRDefault="002A7011" w:rsidP="002A7011">
      <w:pPr>
        <w:spacing w:line="240" w:lineRule="auto"/>
        <w:jc w:val="left"/>
        <w:rPr>
          <w:rFonts w:ascii="Calibri" w:eastAsia="Calibri" w:hAnsi="Calibri"/>
          <w:sz w:val="22"/>
          <w:szCs w:val="21"/>
        </w:rPr>
      </w:pPr>
    </w:p>
    <w:p w:rsidR="002A7011" w:rsidRDefault="002A7011" w:rsidP="002A7011">
      <w:pPr>
        <w:spacing w:line="240" w:lineRule="auto"/>
        <w:jc w:val="left"/>
        <w:rPr>
          <w:rFonts w:ascii="Calibri" w:eastAsia="Calibri" w:hAnsi="Calibri"/>
          <w:sz w:val="22"/>
          <w:szCs w:val="21"/>
        </w:rPr>
      </w:pPr>
    </w:p>
    <w:p w:rsidR="002A7011" w:rsidRDefault="002A7011" w:rsidP="002A7011">
      <w:pPr>
        <w:spacing w:line="240" w:lineRule="auto"/>
        <w:jc w:val="left"/>
        <w:rPr>
          <w:rFonts w:ascii="Calibri" w:eastAsia="Calibri" w:hAnsi="Calibri"/>
          <w:sz w:val="22"/>
          <w:szCs w:val="21"/>
        </w:rPr>
      </w:pPr>
    </w:p>
    <w:p w:rsidR="002A7011" w:rsidRDefault="002A7011" w:rsidP="002A7011">
      <w:pPr>
        <w:spacing w:line="240" w:lineRule="auto"/>
        <w:jc w:val="left"/>
        <w:rPr>
          <w:rFonts w:ascii="Calibri" w:eastAsia="Calibri" w:hAnsi="Calibri"/>
          <w:sz w:val="22"/>
          <w:szCs w:val="21"/>
        </w:rPr>
      </w:pPr>
    </w:p>
    <w:p w:rsidR="002A7011" w:rsidRDefault="002A7011" w:rsidP="002A7011">
      <w:pPr>
        <w:spacing w:line="240" w:lineRule="auto"/>
        <w:jc w:val="left"/>
        <w:rPr>
          <w:rFonts w:ascii="Calibri" w:eastAsia="Calibri" w:hAnsi="Calibri"/>
          <w:sz w:val="22"/>
          <w:szCs w:val="21"/>
        </w:rPr>
      </w:pPr>
    </w:p>
    <w:p w:rsidR="002A7011" w:rsidRDefault="002A7011" w:rsidP="002A7011">
      <w:pPr>
        <w:spacing w:line="240" w:lineRule="auto"/>
        <w:jc w:val="left"/>
        <w:rPr>
          <w:rFonts w:ascii="Calibri" w:eastAsia="Calibri" w:hAnsi="Calibri"/>
          <w:sz w:val="22"/>
          <w:szCs w:val="21"/>
        </w:rPr>
      </w:pPr>
    </w:p>
    <w:p w:rsidR="002A7011" w:rsidRDefault="002A7011" w:rsidP="002A7011">
      <w:pPr>
        <w:spacing w:line="240" w:lineRule="auto"/>
        <w:jc w:val="left"/>
        <w:rPr>
          <w:rFonts w:ascii="Calibri" w:eastAsia="Calibri" w:hAnsi="Calibri"/>
          <w:sz w:val="22"/>
          <w:szCs w:val="21"/>
        </w:rPr>
      </w:pPr>
    </w:p>
    <w:p w:rsidR="002A7011" w:rsidRDefault="002A7011" w:rsidP="002A7011">
      <w:pPr>
        <w:spacing w:line="240" w:lineRule="auto"/>
        <w:jc w:val="left"/>
        <w:rPr>
          <w:rFonts w:ascii="Calibri" w:eastAsia="Calibri" w:hAnsi="Calibri"/>
          <w:sz w:val="22"/>
          <w:szCs w:val="21"/>
        </w:rPr>
      </w:pPr>
    </w:p>
    <w:p w:rsidR="002A7011" w:rsidRPr="002A7011" w:rsidRDefault="002A7011" w:rsidP="002A7011">
      <w:pPr>
        <w:spacing w:line="240" w:lineRule="auto"/>
        <w:jc w:val="left"/>
        <w:rPr>
          <w:rFonts w:ascii="Calibri" w:eastAsia="Calibri" w:hAnsi="Calibri"/>
          <w:sz w:val="22"/>
          <w:szCs w:val="21"/>
        </w:rPr>
      </w:pPr>
      <w:r w:rsidRPr="002A7011">
        <w:rPr>
          <w:rFonts w:ascii="Calibri" w:eastAsia="Calibri" w:hAnsi="Calibri"/>
          <w:sz w:val="22"/>
          <w:szCs w:val="21"/>
        </w:rPr>
        <w:t>14-Feb-2022</w:t>
      </w:r>
    </w:p>
    <w:p w:rsidR="002A7011" w:rsidRPr="002A7011" w:rsidRDefault="002A7011" w:rsidP="002A7011">
      <w:pPr>
        <w:spacing w:line="240" w:lineRule="auto"/>
        <w:jc w:val="left"/>
        <w:rPr>
          <w:rFonts w:ascii="Calibri" w:eastAsia="Calibri" w:hAnsi="Calibri"/>
          <w:sz w:val="22"/>
          <w:szCs w:val="21"/>
        </w:rPr>
      </w:pPr>
    </w:p>
    <w:p w:rsidR="002A7011" w:rsidRPr="002A7011" w:rsidRDefault="002A7011" w:rsidP="002A7011">
      <w:pPr>
        <w:spacing w:line="240" w:lineRule="auto"/>
        <w:jc w:val="left"/>
        <w:rPr>
          <w:rFonts w:ascii="Calibri" w:eastAsia="Calibri" w:hAnsi="Calibri"/>
          <w:sz w:val="22"/>
          <w:szCs w:val="21"/>
        </w:rPr>
      </w:pPr>
      <w:r w:rsidRPr="002A7011">
        <w:rPr>
          <w:rFonts w:ascii="Calibri" w:eastAsia="Calibri" w:hAnsi="Calibri"/>
          <w:sz w:val="22"/>
          <w:szCs w:val="21"/>
        </w:rPr>
        <w:t>Dear Harold</w:t>
      </w:r>
    </w:p>
    <w:p w:rsidR="002A7011" w:rsidRPr="002A7011" w:rsidRDefault="002A7011" w:rsidP="002A7011">
      <w:pPr>
        <w:spacing w:line="240" w:lineRule="auto"/>
        <w:jc w:val="left"/>
        <w:rPr>
          <w:rFonts w:ascii="Calibri" w:eastAsia="Calibri" w:hAnsi="Calibri"/>
          <w:sz w:val="22"/>
          <w:szCs w:val="21"/>
        </w:rPr>
      </w:pPr>
    </w:p>
    <w:p w:rsidR="002A7011" w:rsidRPr="002A7011" w:rsidRDefault="002A7011" w:rsidP="002A7011">
      <w:pPr>
        <w:spacing w:line="240" w:lineRule="auto"/>
        <w:jc w:val="left"/>
        <w:rPr>
          <w:rFonts w:ascii="Calibri" w:eastAsia="Calibri" w:hAnsi="Calibri"/>
          <w:sz w:val="22"/>
          <w:szCs w:val="21"/>
        </w:rPr>
      </w:pPr>
      <w:r w:rsidRPr="002A7011">
        <w:rPr>
          <w:rFonts w:ascii="Calibri" w:eastAsia="Calibri" w:hAnsi="Calibri"/>
          <w:sz w:val="22"/>
          <w:szCs w:val="21"/>
        </w:rPr>
        <w:t>I hope that this finds you well.</w:t>
      </w:r>
    </w:p>
    <w:p w:rsidR="002A7011" w:rsidRPr="002A7011" w:rsidRDefault="002A7011" w:rsidP="002A7011">
      <w:pPr>
        <w:spacing w:line="240" w:lineRule="auto"/>
        <w:jc w:val="left"/>
        <w:rPr>
          <w:rFonts w:ascii="Calibri" w:eastAsia="Calibri" w:hAnsi="Calibri"/>
          <w:sz w:val="22"/>
          <w:szCs w:val="21"/>
        </w:rPr>
      </w:pPr>
    </w:p>
    <w:p w:rsidR="002A7011" w:rsidRPr="002A7011" w:rsidRDefault="002A7011" w:rsidP="002A7011">
      <w:pPr>
        <w:spacing w:line="240" w:lineRule="auto"/>
        <w:jc w:val="left"/>
        <w:rPr>
          <w:rFonts w:ascii="Calibri" w:eastAsia="Calibri" w:hAnsi="Calibri"/>
          <w:sz w:val="22"/>
          <w:szCs w:val="21"/>
        </w:rPr>
      </w:pPr>
      <w:r w:rsidRPr="002A7011">
        <w:rPr>
          <w:rFonts w:ascii="Calibri" w:eastAsia="Calibri" w:hAnsi="Calibri"/>
          <w:sz w:val="22"/>
          <w:szCs w:val="21"/>
        </w:rPr>
        <w:t>I write to you with respect to Manuscript ID EcHR-21-08-0096-OA.R2, which you submitted to The Economic History Review.</w:t>
      </w:r>
    </w:p>
    <w:p w:rsidR="002A7011" w:rsidRPr="002A7011" w:rsidRDefault="002A7011" w:rsidP="002A7011">
      <w:pPr>
        <w:spacing w:line="240" w:lineRule="auto"/>
        <w:jc w:val="left"/>
        <w:rPr>
          <w:rFonts w:ascii="Calibri" w:eastAsia="Calibri" w:hAnsi="Calibri"/>
          <w:sz w:val="22"/>
          <w:szCs w:val="21"/>
        </w:rPr>
      </w:pPr>
    </w:p>
    <w:p w:rsidR="002A7011" w:rsidRPr="002A7011" w:rsidRDefault="002A7011" w:rsidP="002A7011">
      <w:pPr>
        <w:spacing w:line="240" w:lineRule="auto"/>
        <w:jc w:val="left"/>
        <w:rPr>
          <w:rFonts w:ascii="Calibri" w:eastAsia="Calibri" w:hAnsi="Calibri"/>
          <w:sz w:val="22"/>
          <w:szCs w:val="21"/>
        </w:rPr>
      </w:pPr>
      <w:r w:rsidRPr="002A7011">
        <w:rPr>
          <w:rFonts w:ascii="Calibri" w:eastAsia="Calibri" w:hAnsi="Calibri"/>
          <w:sz w:val="22"/>
          <w:szCs w:val="21"/>
        </w:rPr>
        <w:t>I have read through your response to the minor comments of the referees and I have decided that these have all been addressed. It is, therefore, a great pleasure to accept your manuscript entitled "The Role of Sentiment in the Economy: 1920 to 1934" in its current form for publication in The Economic History Review.</w:t>
      </w:r>
    </w:p>
    <w:p w:rsidR="002A7011" w:rsidRPr="002A7011" w:rsidRDefault="002A7011" w:rsidP="002A7011">
      <w:pPr>
        <w:spacing w:line="240" w:lineRule="auto"/>
        <w:jc w:val="left"/>
        <w:rPr>
          <w:rFonts w:ascii="Calibri" w:eastAsia="Calibri" w:hAnsi="Calibri"/>
          <w:sz w:val="22"/>
          <w:szCs w:val="21"/>
        </w:rPr>
      </w:pPr>
    </w:p>
    <w:p w:rsidR="002A7011" w:rsidRPr="002A7011" w:rsidRDefault="002A7011" w:rsidP="002A7011">
      <w:pPr>
        <w:spacing w:line="240" w:lineRule="auto"/>
        <w:jc w:val="left"/>
        <w:rPr>
          <w:rFonts w:ascii="Calibri" w:eastAsia="Calibri" w:hAnsi="Calibri"/>
          <w:sz w:val="22"/>
          <w:szCs w:val="21"/>
        </w:rPr>
      </w:pPr>
      <w:r w:rsidRPr="002A7011">
        <w:rPr>
          <w:rFonts w:ascii="Calibri" w:eastAsia="Calibri" w:hAnsi="Calibri"/>
          <w:sz w:val="22"/>
          <w:szCs w:val="21"/>
        </w:rPr>
        <w:t>I only have one suggestion which you can take or leave. Your title might be better as "The Role of Sentiment in the U.S. Economy: 1920 to 1934". I think that this better reflects the subject matter of your paper.</w:t>
      </w:r>
    </w:p>
    <w:p w:rsidR="002A7011" w:rsidRPr="002A7011" w:rsidRDefault="002A7011" w:rsidP="002A7011">
      <w:pPr>
        <w:spacing w:line="240" w:lineRule="auto"/>
        <w:jc w:val="left"/>
        <w:rPr>
          <w:rFonts w:ascii="Calibri" w:eastAsia="Calibri" w:hAnsi="Calibri"/>
          <w:sz w:val="22"/>
          <w:szCs w:val="21"/>
        </w:rPr>
      </w:pPr>
    </w:p>
    <w:p w:rsidR="002A7011" w:rsidRPr="002A7011" w:rsidRDefault="002A7011" w:rsidP="002A7011">
      <w:pPr>
        <w:spacing w:line="240" w:lineRule="auto"/>
        <w:jc w:val="left"/>
        <w:rPr>
          <w:rFonts w:ascii="Calibri" w:eastAsia="Calibri" w:hAnsi="Calibri"/>
          <w:sz w:val="22"/>
          <w:szCs w:val="21"/>
        </w:rPr>
      </w:pPr>
      <w:r w:rsidRPr="002A7011">
        <w:rPr>
          <w:rFonts w:ascii="Calibri" w:eastAsia="Calibri" w:hAnsi="Calibri"/>
          <w:sz w:val="22"/>
          <w:szCs w:val="21"/>
        </w:rPr>
        <w:t>FOR QUANTITATIVE PAPERS, IF SUBMITTED AFTER 1 JAN 2020: This acceptance is conditional on your provision and deposit of a replication package, as set out in Part C of our Notes for Contributors, unless you are prevented from producing a package because of privacy or contractual constraints. Please upload this package to the First Look section of our submission system (details below), along with information about its deposit at an external repository.</w:t>
      </w:r>
    </w:p>
    <w:p w:rsidR="002A7011" w:rsidRPr="002A7011" w:rsidRDefault="002A7011" w:rsidP="002A7011">
      <w:pPr>
        <w:spacing w:line="240" w:lineRule="auto"/>
        <w:jc w:val="left"/>
        <w:rPr>
          <w:rFonts w:ascii="Calibri" w:eastAsia="Calibri" w:hAnsi="Calibri"/>
          <w:sz w:val="22"/>
          <w:szCs w:val="21"/>
        </w:rPr>
      </w:pPr>
    </w:p>
    <w:p w:rsidR="002A7011" w:rsidRPr="002A7011" w:rsidRDefault="002A7011" w:rsidP="002A7011">
      <w:pPr>
        <w:spacing w:line="240" w:lineRule="auto"/>
        <w:jc w:val="left"/>
        <w:rPr>
          <w:rFonts w:ascii="Calibri" w:eastAsia="Calibri" w:hAnsi="Calibri"/>
          <w:sz w:val="22"/>
          <w:szCs w:val="21"/>
        </w:rPr>
      </w:pPr>
      <w:r w:rsidRPr="002A7011">
        <w:rPr>
          <w:rFonts w:ascii="Calibri" w:eastAsia="Calibri" w:hAnsi="Calibri"/>
          <w:sz w:val="22"/>
          <w:szCs w:val="21"/>
        </w:rPr>
        <w:t>OR, IF SUBMITTED BEFORE 1 JAN 2020: We are encouraging authors to supply replication packages for papers. This is only required for papers submitted after the 1 January 2020, but we would urge you to do so for your paper, in order to meet the best standards in social science. Details are set out in Part C of our Notes for Contributors. If you are able, upload this package to the First Look section of our submission system(details below), along with information about its deposit at an external repository.</w:t>
      </w:r>
    </w:p>
    <w:p w:rsidR="002A7011" w:rsidRPr="002A7011" w:rsidRDefault="002A7011" w:rsidP="002A7011">
      <w:pPr>
        <w:spacing w:line="240" w:lineRule="auto"/>
        <w:jc w:val="left"/>
        <w:rPr>
          <w:rFonts w:ascii="Calibri" w:eastAsia="Calibri" w:hAnsi="Calibri"/>
          <w:sz w:val="22"/>
          <w:szCs w:val="21"/>
        </w:rPr>
      </w:pPr>
    </w:p>
    <w:p w:rsidR="002A7011" w:rsidRPr="002A7011" w:rsidRDefault="002A7011" w:rsidP="002A7011">
      <w:pPr>
        <w:spacing w:line="240" w:lineRule="auto"/>
        <w:jc w:val="left"/>
        <w:rPr>
          <w:rFonts w:ascii="Calibri" w:eastAsia="Calibri" w:hAnsi="Calibri"/>
          <w:sz w:val="22"/>
          <w:szCs w:val="21"/>
        </w:rPr>
      </w:pPr>
      <w:r w:rsidRPr="002A7011">
        <w:rPr>
          <w:rFonts w:ascii="Calibri" w:eastAsia="Calibri" w:hAnsi="Calibri"/>
          <w:sz w:val="22"/>
          <w:szCs w:val="21"/>
        </w:rPr>
        <w:t>The final version of your article cannot be published until the publisher has received the appropriate signed license agreement. Within the next few days the corresponding author will receive an email from Wiley’s Author Services system which will ask them to log in and will present them with the appropriate license for completion.</w:t>
      </w:r>
    </w:p>
    <w:p w:rsidR="002A7011" w:rsidRPr="002A7011" w:rsidRDefault="002A7011" w:rsidP="002A7011">
      <w:pPr>
        <w:spacing w:line="240" w:lineRule="auto"/>
        <w:jc w:val="left"/>
        <w:rPr>
          <w:rFonts w:ascii="Calibri" w:eastAsia="Calibri" w:hAnsi="Calibri"/>
          <w:sz w:val="22"/>
          <w:szCs w:val="21"/>
        </w:rPr>
      </w:pPr>
    </w:p>
    <w:p w:rsidR="002A7011" w:rsidRPr="002A7011" w:rsidRDefault="002A7011" w:rsidP="002A7011">
      <w:pPr>
        <w:spacing w:line="240" w:lineRule="auto"/>
        <w:jc w:val="left"/>
        <w:rPr>
          <w:rFonts w:ascii="Calibri" w:eastAsia="Calibri" w:hAnsi="Calibri"/>
          <w:sz w:val="22"/>
          <w:szCs w:val="21"/>
        </w:rPr>
      </w:pPr>
      <w:r w:rsidRPr="002A7011">
        <w:rPr>
          <w:rFonts w:ascii="Calibri" w:eastAsia="Calibri" w:hAnsi="Calibri"/>
          <w:sz w:val="22"/>
          <w:szCs w:val="21"/>
        </w:rPr>
        <w:t xml:space="preserve">Please take time to familiarise yourself with the Author Promotion Toolkit and Article Sharing Policy that details how you can share your work: </w:t>
      </w:r>
      <w:hyperlink r:id="rId254" w:history="1">
        <w:r w:rsidRPr="002A7011">
          <w:rPr>
            <w:rFonts w:ascii="Calibri" w:eastAsia="Calibri" w:hAnsi="Calibri"/>
            <w:color w:val="0563C1"/>
            <w:sz w:val="22"/>
            <w:szCs w:val="21"/>
            <w:u w:val="single"/>
          </w:rPr>
          <w:t>https://authorservices.wiley.com/author-resources/Journal-Authors/Promotion/index.html</w:t>
        </w:r>
      </w:hyperlink>
    </w:p>
    <w:p w:rsidR="002A7011" w:rsidRPr="002A7011" w:rsidRDefault="002A7011" w:rsidP="002A7011">
      <w:pPr>
        <w:spacing w:line="240" w:lineRule="auto"/>
        <w:jc w:val="left"/>
        <w:rPr>
          <w:rFonts w:ascii="Calibri" w:eastAsia="Calibri" w:hAnsi="Calibri"/>
          <w:sz w:val="22"/>
          <w:szCs w:val="21"/>
        </w:rPr>
      </w:pPr>
    </w:p>
    <w:p w:rsidR="002A7011" w:rsidRPr="002A7011" w:rsidRDefault="002A7011" w:rsidP="002A7011">
      <w:pPr>
        <w:spacing w:line="240" w:lineRule="auto"/>
        <w:jc w:val="left"/>
        <w:rPr>
          <w:rFonts w:ascii="Calibri" w:eastAsia="Calibri" w:hAnsi="Calibri"/>
          <w:sz w:val="22"/>
          <w:szCs w:val="21"/>
        </w:rPr>
      </w:pPr>
      <w:r w:rsidRPr="002A7011">
        <w:rPr>
          <w:rFonts w:ascii="Calibri" w:eastAsia="Calibri" w:hAnsi="Calibri"/>
          <w:sz w:val="22"/>
          <w:szCs w:val="21"/>
        </w:rPr>
        <w:t xml:space="preserve">If you have not already done so, please ensure that you have submitted the .xls files for all figures appearing in your submission produced using Excel (including both the figures and the underlying data).  In addition, please check to make sure you have included full page extents for articles and essays cited in your list of references.  I </w:t>
      </w:r>
      <w:r w:rsidRPr="002A7011">
        <w:rPr>
          <w:rFonts w:ascii="Calibri" w:eastAsia="Calibri" w:hAnsi="Calibri"/>
          <w:sz w:val="22"/>
          <w:szCs w:val="21"/>
        </w:rPr>
        <w:lastRenderedPageBreak/>
        <w:t>have attached our house-style document here for your guidance.  Once you have made your changes, please upload your amended files via the First Look facility in ScholarOne Manuscripts.</w:t>
      </w:r>
    </w:p>
    <w:p w:rsidR="002A7011" w:rsidRPr="002A7011" w:rsidRDefault="002A7011" w:rsidP="002A7011">
      <w:pPr>
        <w:spacing w:line="240" w:lineRule="auto"/>
        <w:jc w:val="left"/>
        <w:rPr>
          <w:rFonts w:ascii="Calibri" w:eastAsia="Calibri" w:hAnsi="Calibri"/>
          <w:sz w:val="22"/>
          <w:szCs w:val="21"/>
        </w:rPr>
      </w:pPr>
    </w:p>
    <w:p w:rsidR="002A7011" w:rsidRPr="002A7011" w:rsidRDefault="002A7011" w:rsidP="002A7011">
      <w:pPr>
        <w:spacing w:line="240" w:lineRule="auto"/>
        <w:jc w:val="left"/>
        <w:rPr>
          <w:rFonts w:ascii="Calibri" w:eastAsia="Calibri" w:hAnsi="Calibri"/>
          <w:sz w:val="22"/>
          <w:szCs w:val="21"/>
        </w:rPr>
      </w:pPr>
      <w:r w:rsidRPr="002A7011">
        <w:rPr>
          <w:rFonts w:ascii="Calibri" w:eastAsia="Calibri" w:hAnsi="Calibri"/>
          <w:sz w:val="22"/>
          <w:szCs w:val="21"/>
        </w:rPr>
        <w:t>Thank you for your fine contribution.  On behalf of the Editors of The Economic History Review, we look forward to your continued contributions to the Journal.</w:t>
      </w:r>
    </w:p>
    <w:p w:rsidR="002A7011" w:rsidRPr="002A7011" w:rsidRDefault="002A7011" w:rsidP="002A7011">
      <w:pPr>
        <w:spacing w:line="240" w:lineRule="auto"/>
        <w:jc w:val="left"/>
        <w:rPr>
          <w:rFonts w:ascii="Calibri" w:eastAsia="Calibri" w:hAnsi="Calibri"/>
          <w:sz w:val="22"/>
          <w:szCs w:val="21"/>
        </w:rPr>
      </w:pPr>
    </w:p>
    <w:p w:rsidR="002A7011" w:rsidRPr="002A7011" w:rsidRDefault="002A7011" w:rsidP="002A7011">
      <w:pPr>
        <w:spacing w:line="240" w:lineRule="auto"/>
        <w:jc w:val="left"/>
        <w:rPr>
          <w:rFonts w:ascii="Calibri" w:eastAsia="Calibri" w:hAnsi="Calibri"/>
          <w:sz w:val="22"/>
          <w:szCs w:val="21"/>
        </w:rPr>
      </w:pPr>
      <w:r w:rsidRPr="002A7011">
        <w:rPr>
          <w:rFonts w:ascii="Calibri" w:eastAsia="Calibri" w:hAnsi="Calibri"/>
          <w:sz w:val="22"/>
          <w:szCs w:val="21"/>
        </w:rPr>
        <w:t>Sincerely</w:t>
      </w:r>
    </w:p>
    <w:p w:rsidR="002A7011" w:rsidRPr="002A7011" w:rsidRDefault="002A7011" w:rsidP="002A7011">
      <w:pPr>
        <w:spacing w:line="240" w:lineRule="auto"/>
        <w:jc w:val="left"/>
        <w:rPr>
          <w:rFonts w:ascii="Calibri" w:eastAsia="Calibri" w:hAnsi="Calibri"/>
          <w:sz w:val="22"/>
          <w:szCs w:val="21"/>
        </w:rPr>
      </w:pPr>
    </w:p>
    <w:p w:rsidR="002A7011" w:rsidRPr="002A7011" w:rsidRDefault="002A7011" w:rsidP="002A7011">
      <w:pPr>
        <w:spacing w:line="240" w:lineRule="auto"/>
        <w:jc w:val="left"/>
        <w:rPr>
          <w:rFonts w:ascii="Calibri" w:eastAsia="Calibri" w:hAnsi="Calibri"/>
          <w:sz w:val="22"/>
          <w:szCs w:val="21"/>
        </w:rPr>
      </w:pPr>
      <w:r w:rsidRPr="002A7011">
        <w:rPr>
          <w:rFonts w:ascii="Calibri" w:eastAsia="Calibri" w:hAnsi="Calibri"/>
          <w:sz w:val="22"/>
          <w:szCs w:val="21"/>
        </w:rPr>
        <w:t>John</w:t>
      </w:r>
    </w:p>
    <w:p w:rsidR="002A7011" w:rsidRPr="002A7011" w:rsidRDefault="002A7011" w:rsidP="002A7011">
      <w:pPr>
        <w:spacing w:line="240" w:lineRule="auto"/>
        <w:jc w:val="left"/>
        <w:rPr>
          <w:rFonts w:ascii="Calibri" w:eastAsia="Calibri" w:hAnsi="Calibri"/>
          <w:sz w:val="22"/>
          <w:szCs w:val="21"/>
        </w:rPr>
      </w:pPr>
    </w:p>
    <w:p w:rsidR="002A7011" w:rsidRPr="002A7011" w:rsidRDefault="002A7011" w:rsidP="002A7011">
      <w:pPr>
        <w:spacing w:line="240" w:lineRule="auto"/>
        <w:jc w:val="left"/>
        <w:rPr>
          <w:rFonts w:ascii="Calibri" w:eastAsia="Calibri" w:hAnsi="Calibri"/>
          <w:sz w:val="22"/>
          <w:szCs w:val="21"/>
        </w:rPr>
      </w:pPr>
      <w:r w:rsidRPr="002A7011">
        <w:rPr>
          <w:rFonts w:ascii="Calibri" w:eastAsia="Calibri" w:hAnsi="Calibri"/>
          <w:sz w:val="22"/>
          <w:szCs w:val="21"/>
        </w:rPr>
        <w:t>Professor John Turner</w:t>
      </w:r>
    </w:p>
    <w:p w:rsidR="002A7011" w:rsidRPr="002A7011" w:rsidRDefault="002A7011" w:rsidP="002A7011">
      <w:pPr>
        <w:spacing w:line="240" w:lineRule="auto"/>
        <w:jc w:val="left"/>
        <w:rPr>
          <w:rFonts w:ascii="Calibri" w:eastAsia="Calibri" w:hAnsi="Calibri"/>
          <w:sz w:val="22"/>
          <w:szCs w:val="21"/>
        </w:rPr>
      </w:pPr>
      <w:r w:rsidRPr="002A7011">
        <w:rPr>
          <w:rFonts w:ascii="Calibri" w:eastAsia="Calibri" w:hAnsi="Calibri"/>
          <w:sz w:val="22"/>
          <w:szCs w:val="21"/>
        </w:rPr>
        <w:t>Editor, The Economic History Review</w:t>
      </w:r>
    </w:p>
    <w:p w:rsidR="002A7011" w:rsidRPr="002A7011" w:rsidRDefault="002A7011" w:rsidP="002A7011">
      <w:pPr>
        <w:spacing w:line="240" w:lineRule="auto"/>
        <w:jc w:val="left"/>
        <w:rPr>
          <w:rFonts w:ascii="Calibri" w:eastAsia="Calibri" w:hAnsi="Calibri"/>
          <w:sz w:val="22"/>
          <w:szCs w:val="21"/>
        </w:rPr>
      </w:pPr>
      <w:hyperlink r:id="rId255" w:history="1">
        <w:r w:rsidRPr="002A7011">
          <w:rPr>
            <w:rFonts w:ascii="Calibri" w:eastAsia="Calibri" w:hAnsi="Calibri"/>
            <w:color w:val="0563C1"/>
            <w:sz w:val="22"/>
            <w:szCs w:val="21"/>
            <w:u w:val="single"/>
          </w:rPr>
          <w:t>j.turner@qub.ac.uk</w:t>
        </w:r>
      </w:hyperlink>
    </w:p>
    <w:p w:rsidR="002A7011" w:rsidRPr="002A7011" w:rsidRDefault="002A7011" w:rsidP="002A7011">
      <w:pPr>
        <w:spacing w:line="240" w:lineRule="auto"/>
        <w:jc w:val="left"/>
        <w:rPr>
          <w:rFonts w:ascii="Calibri" w:eastAsia="Calibri" w:hAnsi="Calibri"/>
          <w:sz w:val="22"/>
          <w:szCs w:val="21"/>
        </w:rPr>
      </w:pPr>
    </w:p>
    <w:p w:rsidR="002A7011" w:rsidRPr="002A7011" w:rsidRDefault="002A7011" w:rsidP="002A7011">
      <w:pPr>
        <w:spacing w:line="240" w:lineRule="auto"/>
        <w:jc w:val="left"/>
        <w:rPr>
          <w:rFonts w:ascii="Calibri" w:eastAsia="Calibri" w:hAnsi="Calibri"/>
          <w:sz w:val="22"/>
          <w:szCs w:val="21"/>
        </w:rPr>
      </w:pPr>
    </w:p>
    <w:p w:rsidR="002A7011" w:rsidRPr="002A7011" w:rsidRDefault="002A7011" w:rsidP="002A7011">
      <w:pPr>
        <w:spacing w:line="240" w:lineRule="auto"/>
        <w:jc w:val="left"/>
        <w:rPr>
          <w:rFonts w:ascii="Calibri" w:eastAsia="Calibri" w:hAnsi="Calibri"/>
          <w:sz w:val="22"/>
          <w:szCs w:val="21"/>
        </w:rPr>
      </w:pPr>
    </w:p>
    <w:p w:rsidR="002A7011" w:rsidRPr="002A7011" w:rsidRDefault="002A7011" w:rsidP="002A7011">
      <w:pPr>
        <w:spacing w:line="240" w:lineRule="auto"/>
        <w:jc w:val="left"/>
        <w:rPr>
          <w:rFonts w:ascii="Calibri" w:eastAsia="Calibri" w:hAnsi="Calibri"/>
          <w:sz w:val="22"/>
          <w:szCs w:val="21"/>
        </w:rPr>
      </w:pPr>
    </w:p>
    <w:p w:rsidR="002A7011" w:rsidRPr="002A7011" w:rsidRDefault="002A7011" w:rsidP="002A7011">
      <w:pPr>
        <w:spacing w:line="240" w:lineRule="auto"/>
        <w:jc w:val="left"/>
        <w:rPr>
          <w:rFonts w:ascii="Calibri" w:eastAsia="Calibri" w:hAnsi="Calibri"/>
          <w:sz w:val="22"/>
          <w:szCs w:val="21"/>
        </w:rPr>
      </w:pPr>
    </w:p>
    <w:p w:rsidR="002A7011" w:rsidRPr="002A7011" w:rsidRDefault="002A7011" w:rsidP="002A7011">
      <w:pPr>
        <w:spacing w:line="240" w:lineRule="auto"/>
        <w:jc w:val="left"/>
        <w:rPr>
          <w:rFonts w:ascii="Calibri" w:eastAsia="Calibri" w:hAnsi="Calibri"/>
          <w:sz w:val="22"/>
          <w:szCs w:val="21"/>
        </w:rPr>
      </w:pPr>
    </w:p>
    <w:p w:rsidR="002A7011" w:rsidRPr="002A7011" w:rsidRDefault="002A7011" w:rsidP="002A7011">
      <w:pPr>
        <w:spacing w:line="240" w:lineRule="auto"/>
        <w:jc w:val="left"/>
        <w:rPr>
          <w:rFonts w:ascii="Calibri" w:eastAsia="Calibri" w:hAnsi="Calibri"/>
          <w:sz w:val="22"/>
          <w:szCs w:val="21"/>
        </w:rPr>
      </w:pPr>
      <w:r w:rsidRPr="002A7011">
        <w:rPr>
          <w:rFonts w:ascii="Calibri" w:eastAsia="Calibri" w:hAnsi="Calibri"/>
          <w:sz w:val="22"/>
          <w:szCs w:val="21"/>
        </w:rPr>
        <w:t xml:space="preserve">Wiley offers authors the option to make their article available to non-subscribers on Wiley Online Library through their OnlineOpen service. This service is also suitable for authors whose funding agency requires grantees to archive the final version of their article. With OnlineOpen, the author, the author's funding agency, or the author's institution pays a fee to ensure that the article is made available to non-subscribers upon publication via Wiley Online Library, as well as deposited in the funding agency's preferred archive. For the full list of terms and conditions, see </w:t>
      </w:r>
      <w:hyperlink r:id="rId256" w:anchor="OnlineOpen_Terms" w:history="1">
        <w:r w:rsidRPr="002A7011">
          <w:rPr>
            <w:rFonts w:ascii="Calibri" w:eastAsia="Calibri" w:hAnsi="Calibri"/>
            <w:color w:val="0563C1"/>
            <w:sz w:val="22"/>
            <w:szCs w:val="21"/>
            <w:u w:val="single"/>
          </w:rPr>
          <w:t>http://wileyonlinelibrary.com/onlineopen#OnlineOpen_Terms</w:t>
        </w:r>
      </w:hyperlink>
      <w:r w:rsidRPr="002A7011">
        <w:rPr>
          <w:rFonts w:ascii="Calibri" w:eastAsia="Calibri" w:hAnsi="Calibri"/>
          <w:sz w:val="22"/>
          <w:szCs w:val="21"/>
        </w:rPr>
        <w:t xml:space="preserve">. Any authors wishing to send their paper OnlineOpen will be required to complete the payment form available from our website at: </w:t>
      </w:r>
      <w:hyperlink r:id="rId257" w:history="1">
        <w:r w:rsidRPr="002A7011">
          <w:rPr>
            <w:rFonts w:ascii="Calibri" w:eastAsia="Calibri" w:hAnsi="Calibri"/>
            <w:color w:val="0563C1"/>
            <w:sz w:val="22"/>
            <w:szCs w:val="21"/>
            <w:u w:val="single"/>
          </w:rPr>
          <w:t>https://authorservices.wiley.com/bauthor/onlineopen_order.asp</w:t>
        </w:r>
      </w:hyperlink>
      <w:r w:rsidRPr="002A7011">
        <w:rPr>
          <w:rFonts w:ascii="Calibri" w:eastAsia="Calibri" w:hAnsi="Calibri"/>
          <w:sz w:val="22"/>
          <w:szCs w:val="21"/>
        </w:rPr>
        <w:t>.</w:t>
      </w:r>
    </w:p>
    <w:p w:rsidR="002A7011" w:rsidRPr="002A7011" w:rsidRDefault="002A7011" w:rsidP="002A7011">
      <w:pPr>
        <w:spacing w:line="240" w:lineRule="auto"/>
        <w:jc w:val="left"/>
        <w:rPr>
          <w:rFonts w:ascii="Calibri" w:eastAsia="Calibri" w:hAnsi="Calibri"/>
          <w:sz w:val="22"/>
          <w:szCs w:val="21"/>
        </w:rPr>
      </w:pPr>
    </w:p>
    <w:p w:rsidR="00222F36" w:rsidRDefault="002A7011" w:rsidP="002A7011">
      <w:pPr>
        <w:pBdr>
          <w:top w:val="nil"/>
          <w:left w:val="nil"/>
          <w:bottom w:val="nil"/>
          <w:right w:val="nil"/>
          <w:between w:val="nil"/>
        </w:pBdr>
        <w:spacing w:after="200"/>
        <w:rPr>
          <w:color w:val="000000"/>
        </w:rPr>
      </w:pPr>
      <w:r w:rsidRPr="002A7011">
        <w:rPr>
          <w:rFonts w:ascii="Calibri" w:eastAsia="Calibri" w:hAnsi="Calibri"/>
          <w:sz w:val="22"/>
          <w:szCs w:val="22"/>
        </w:rPr>
        <w:t xml:space="preserve">P.S. – You can help your research get the attention it deserves! Wiley Editing Services offers professional video abstract and infographic creation to help you promote your research at </w:t>
      </w:r>
      <w:hyperlink r:id="rId258" w:history="1">
        <w:r w:rsidRPr="002A7011">
          <w:rPr>
            <w:rFonts w:ascii="Calibri" w:eastAsia="Calibri" w:hAnsi="Calibri"/>
            <w:color w:val="0563C1"/>
            <w:sz w:val="22"/>
            <w:szCs w:val="22"/>
            <w:u w:val="single"/>
          </w:rPr>
          <w:t>www.wileyauthors.com/eeo/promotion</w:t>
        </w:r>
      </w:hyperlink>
      <w:r w:rsidRPr="002A7011">
        <w:rPr>
          <w:rFonts w:ascii="Calibri" w:eastAsia="Calibri" w:hAnsi="Calibri"/>
          <w:sz w:val="22"/>
          <w:szCs w:val="22"/>
        </w:rPr>
        <w:t xml:space="preserve">. And, check out Wiley’s free Promotion Guide for best-practice recommendations for promoting your work at </w:t>
      </w:r>
      <w:hyperlink r:id="rId259" w:history="1">
        <w:r w:rsidRPr="002A7011">
          <w:rPr>
            <w:rFonts w:ascii="Calibri" w:eastAsia="Calibri" w:hAnsi="Calibri"/>
            <w:color w:val="0563C1"/>
            <w:sz w:val="22"/>
            <w:szCs w:val="22"/>
            <w:u w:val="single"/>
          </w:rPr>
          <w:t>www.wileyauthors.com/eeo/guide</w:t>
        </w:r>
      </w:hyperlink>
    </w:p>
    <w:sectPr w:rsidR="00222F36">
      <w:footerReference w:type="default" r:id="rId260"/>
      <w:pgSz w:w="11900" w:h="16840"/>
      <w:pgMar w:top="1440" w:right="2160" w:bottom="1440" w:left="216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0D87" w:rsidRDefault="00C30D87">
      <w:pPr>
        <w:spacing w:line="240" w:lineRule="auto"/>
      </w:pPr>
      <w:r>
        <w:separator/>
      </w:r>
    </w:p>
  </w:endnote>
  <w:endnote w:type="continuationSeparator" w:id="0">
    <w:p w:rsidR="00C30D87" w:rsidRDefault="00C30D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Lucida Grande">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82F" w:rsidRDefault="000B682F">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C830C6">
      <w:rPr>
        <w:noProof/>
        <w:color w:val="000000"/>
      </w:rPr>
      <w:t>57</w:t>
    </w:r>
    <w:r>
      <w:rPr>
        <w:color w:val="000000"/>
      </w:rPr>
      <w:fldChar w:fldCharType="end"/>
    </w:r>
  </w:p>
  <w:p w:rsidR="000B682F" w:rsidRDefault="000B682F">
    <w:pPr>
      <w:pBdr>
        <w:top w:val="nil"/>
        <w:left w:val="nil"/>
        <w:bottom w:val="nil"/>
        <w:right w:val="nil"/>
        <w:between w:val="nil"/>
      </w:pBdr>
      <w:tabs>
        <w:tab w:val="center" w:pos="4513"/>
        <w:tab w:val="right" w:pos="9026"/>
      </w:tabs>
      <w:rPr>
        <w:color w:val="000000"/>
      </w:rPr>
    </w:pPr>
  </w:p>
  <w:p w:rsidR="000B682F" w:rsidRDefault="000B682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0D87" w:rsidRDefault="00C30D87">
      <w:pPr>
        <w:spacing w:line="240" w:lineRule="auto"/>
      </w:pPr>
      <w:r>
        <w:separator/>
      </w:r>
    </w:p>
  </w:footnote>
  <w:footnote w:type="continuationSeparator" w:id="0">
    <w:p w:rsidR="00C30D87" w:rsidRDefault="00C30D87">
      <w:pPr>
        <w:spacing w:line="240" w:lineRule="auto"/>
      </w:pPr>
      <w:r>
        <w:continuationSeparator/>
      </w:r>
    </w:p>
  </w:footnote>
  <w:footnote w:id="1">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vertAlign w:val="superscript"/>
        </w:rPr>
        <w:t>*</w:t>
      </w:r>
      <w:r>
        <w:rPr>
          <w:color w:val="000000"/>
          <w:sz w:val="20"/>
          <w:szCs w:val="20"/>
        </w:rPr>
        <w:t xml:space="preserve"> Kabiri: University of Buckingham, Financial Markets Group (FMG), London School of Economics and Political Science, and Centre for the Study of Decision-Making Uncertainty, UCL. Hunter St, Buckingham MK18 1EG, UK, email ali.kabiri@buckingham.ac.uk. James: Princeton University, Princeton, NJ 08544, USA, hjames@princeton.edu. Landon-Lane: Rutgers University, 75 Hamilton St, New Brunswick, NJ 08901, USA, john.landonlane@rutgers.edu. Tuckett: Centre for the Study of Decision-Making Uncertainty, UCL, Gower St, London WC1E 6BT, UK, </w:t>
      </w:r>
      <w:hyperlink r:id="rId1">
        <w:r>
          <w:rPr>
            <w:color w:val="0000FF"/>
            <w:sz w:val="20"/>
            <w:szCs w:val="20"/>
            <w:u w:val="single"/>
          </w:rPr>
          <w:t>d.tuckett@ucl.ac.uk</w:t>
        </w:r>
      </w:hyperlink>
      <w:r>
        <w:rPr>
          <w:color w:val="000000"/>
          <w:sz w:val="20"/>
          <w:szCs w:val="20"/>
        </w:rPr>
        <w:t>. Nyman: Centre for the Study of Decision-Making Uncertainty, UCL, Gower St, London WC1E 6BT, UK, r.nyman@cs.ucl.ac.uk. The authors would like to thank Charles Goodhart for valuable advice and suggestions and Jacob Turton for research assistance. Any errors are our own.</w:t>
      </w:r>
    </w:p>
  </w:footnote>
  <w:footnote w:id="2">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Bernanke, </w:t>
      </w:r>
      <w:r>
        <w:rPr>
          <w:i/>
          <w:color w:val="000000"/>
          <w:sz w:val="20"/>
          <w:szCs w:val="20"/>
        </w:rPr>
        <w:t>Essays</w:t>
      </w:r>
      <w:r>
        <w:rPr>
          <w:color w:val="000000"/>
          <w:sz w:val="20"/>
          <w:szCs w:val="20"/>
        </w:rPr>
        <w:t xml:space="preserve">, p. 5 </w:t>
      </w:r>
    </w:p>
  </w:footnote>
  <w:footnote w:id="3">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See, for example, Graham and Dodd, </w:t>
      </w:r>
      <w:r>
        <w:rPr>
          <w:i/>
          <w:color w:val="000000"/>
          <w:sz w:val="20"/>
          <w:szCs w:val="20"/>
        </w:rPr>
        <w:t>Security Analysis</w:t>
      </w:r>
      <w:r>
        <w:rPr>
          <w:color w:val="000000"/>
          <w:sz w:val="20"/>
          <w:szCs w:val="20"/>
        </w:rPr>
        <w:t xml:space="preserve">, Fisher, </w:t>
      </w:r>
      <w:r>
        <w:rPr>
          <w:i/>
          <w:color w:val="000000"/>
          <w:sz w:val="20"/>
          <w:szCs w:val="20"/>
        </w:rPr>
        <w:t xml:space="preserve">Booms, </w:t>
      </w:r>
      <w:r>
        <w:rPr>
          <w:color w:val="000000"/>
          <w:sz w:val="20"/>
          <w:szCs w:val="20"/>
        </w:rPr>
        <w:t xml:space="preserve">and  Keynes, </w:t>
      </w:r>
      <w:r>
        <w:rPr>
          <w:i/>
          <w:color w:val="000000"/>
          <w:sz w:val="20"/>
          <w:szCs w:val="20"/>
        </w:rPr>
        <w:t>General Theory</w:t>
      </w:r>
    </w:p>
  </w:footnote>
  <w:footnote w:id="4">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Graham and Dodd, </w:t>
      </w:r>
      <w:r>
        <w:rPr>
          <w:i/>
          <w:color w:val="000000"/>
          <w:sz w:val="20"/>
          <w:szCs w:val="20"/>
        </w:rPr>
        <w:t>Security Analysis</w:t>
      </w:r>
    </w:p>
  </w:footnote>
  <w:footnote w:id="5">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Fisher, </w:t>
      </w:r>
      <w:r>
        <w:rPr>
          <w:i/>
          <w:color w:val="000000"/>
          <w:sz w:val="20"/>
          <w:szCs w:val="20"/>
        </w:rPr>
        <w:t>Booms</w:t>
      </w:r>
      <w:r>
        <w:rPr>
          <w:color w:val="000000"/>
          <w:sz w:val="20"/>
          <w:szCs w:val="20"/>
        </w:rPr>
        <w:t>, p. 33.</w:t>
      </w:r>
    </w:p>
  </w:footnote>
  <w:footnote w:id="6">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Keynes, </w:t>
      </w:r>
      <w:r>
        <w:rPr>
          <w:i/>
          <w:color w:val="000000"/>
          <w:sz w:val="20"/>
          <w:szCs w:val="20"/>
        </w:rPr>
        <w:t>General Theory</w:t>
      </w:r>
      <w:r>
        <w:rPr>
          <w:color w:val="000000"/>
          <w:sz w:val="20"/>
          <w:szCs w:val="20"/>
        </w:rPr>
        <w:t xml:space="preserve">, p. 317. </w:t>
      </w:r>
    </w:p>
  </w:footnote>
  <w:footnote w:id="7">
    <w:p w:rsidR="000B682F" w:rsidRDefault="000B682F">
      <w:pPr>
        <w:pBdr>
          <w:top w:val="nil"/>
          <w:left w:val="nil"/>
          <w:bottom w:val="nil"/>
          <w:right w:val="nil"/>
          <w:between w:val="nil"/>
        </w:pBdr>
        <w:rPr>
          <w:rFonts w:ascii="Arial" w:eastAsia="Arial" w:hAnsi="Arial" w:cs="Arial"/>
          <w:color w:val="000000"/>
          <w:sz w:val="18"/>
          <w:szCs w:val="18"/>
        </w:rPr>
      </w:pPr>
      <w:r>
        <w:rPr>
          <w:rStyle w:val="FootnoteReference"/>
        </w:rPr>
        <w:footnoteRef/>
      </w:r>
      <w:r>
        <w:rPr>
          <w:rFonts w:ascii="Arial" w:eastAsia="Arial" w:hAnsi="Arial" w:cs="Arial"/>
          <w:color w:val="000000"/>
          <w:sz w:val="18"/>
          <w:szCs w:val="18"/>
        </w:rPr>
        <w:t xml:space="preserve"> </w:t>
      </w:r>
      <w:r>
        <w:rPr>
          <w:color w:val="000000"/>
          <w:sz w:val="20"/>
          <w:szCs w:val="20"/>
        </w:rPr>
        <w:t xml:space="preserve">“Banking Opinion Shows Confidence: Northwest, Clear to the Pacific Coast, Cheered by Fine Crops, Feels Sure of Good Times,” </w:t>
      </w:r>
      <w:r>
        <w:rPr>
          <w:i/>
          <w:color w:val="000000"/>
          <w:sz w:val="20"/>
          <w:szCs w:val="20"/>
        </w:rPr>
        <w:t>Wall Street Journal</w:t>
      </w:r>
      <w:r>
        <w:rPr>
          <w:color w:val="000000"/>
          <w:sz w:val="20"/>
          <w:szCs w:val="20"/>
        </w:rPr>
        <w:t>, January 10, 1925.</w:t>
      </w:r>
    </w:p>
  </w:footnote>
  <w:footnote w:id="8">
    <w:p w:rsidR="000B682F" w:rsidRDefault="000B682F">
      <w:r>
        <w:rPr>
          <w:rStyle w:val="FootnoteReference"/>
        </w:rPr>
        <w:footnoteRef/>
      </w:r>
      <w:r>
        <w:rPr>
          <w:color w:val="000000"/>
          <w:sz w:val="20"/>
          <w:szCs w:val="20"/>
        </w:rPr>
        <w:t xml:space="preserve"> See, for example, Tetlock, “Giving content to investor sentiment’, Loughran and McDonald, ‘When is Liability not a Liability?’, and Püttmann, ‘</w:t>
      </w:r>
      <w:r>
        <w:rPr>
          <w:sz w:val="20"/>
          <w:szCs w:val="20"/>
        </w:rPr>
        <w:t>Patterns of Panic: Financial Crisis Language in Historical Newspapers.’</w:t>
      </w:r>
      <w:r>
        <w:t xml:space="preserve"> </w:t>
      </w:r>
    </w:p>
  </w:footnote>
  <w:footnote w:id="9">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See, for example, Ramey and Shapiro, ‘Displaced capital’; Romer and Romer, ‘The macroeconomic effects of tax changes’; Dominguez and Shapiro, ‘Forecasting the Recovery from the Great Recession’; Choi and Varian, ‘Predicting the present with Google Trends’; Haddow et. al. ‘Macroeconomic uncertainty; what is it, how can we measure it and why does it matter</w:t>
      </w:r>
      <w:r>
        <w:rPr>
          <w:color w:val="000000"/>
        </w:rPr>
        <w:t>?</w:t>
      </w:r>
      <w:r>
        <w:rPr>
          <w:color w:val="000000"/>
          <w:sz w:val="20"/>
          <w:szCs w:val="20"/>
        </w:rPr>
        <w:t>’</w:t>
      </w:r>
    </w:p>
  </w:footnote>
  <w:footnote w:id="10">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Manela and Moreira, ‘News implied volatility and disaster concerns’. Garcia, ‘Sentiment during recessions’ Baker et. al. ‘Measuring economic policy uncertainty’.</w:t>
      </w:r>
    </w:p>
  </w:footnote>
  <w:footnote w:id="11">
    <w:p w:rsidR="000B682F" w:rsidRDefault="000B682F">
      <w:pPr>
        <w:rPr>
          <w:sz w:val="12"/>
          <w:szCs w:val="12"/>
        </w:rPr>
      </w:pPr>
      <w:r>
        <w:rPr>
          <w:rStyle w:val="FootnoteReference"/>
        </w:rPr>
        <w:footnoteRef/>
      </w:r>
      <w:r>
        <w:rPr>
          <w:sz w:val="20"/>
          <w:szCs w:val="20"/>
        </w:rPr>
        <w:t xml:space="preserve"> See, for example Binder, ‘Estimation of historical inflation expectations’; Daniel and ter Steege,’Inflation expectations and the recovery from the Great Depression in Germany’;  Jalil and Rua, ‘Inflation expectations and recovery in spring 1933’.</w:t>
      </w:r>
    </w:p>
  </w:footnote>
  <w:footnote w:id="12">
    <w:p w:rsidR="006C3679" w:rsidRPr="006C3679" w:rsidRDefault="006C3679" w:rsidP="006C3679">
      <w:pPr>
        <w:rPr>
          <w:sz w:val="12"/>
          <w:szCs w:val="12"/>
        </w:rPr>
      </w:pPr>
      <w:r>
        <w:rPr>
          <w:rStyle w:val="FootnoteReference"/>
        </w:rPr>
        <w:footnoteRef/>
      </w:r>
      <w:r>
        <w:t xml:space="preserve"> </w:t>
      </w:r>
      <w:r>
        <w:rPr>
          <w:sz w:val="20"/>
          <w:szCs w:val="20"/>
        </w:rPr>
        <w:t>See for example, Romer, ‘The Great Crash’; Lennard, ‘Uncertainty and the Great Slump’; Mathy and Ziebarth, ‘How much does political uncertainty matter?’; Mathy, ‘How Much Did Uncertainty Shocks Matter in the Great Depression?’</w:t>
      </w:r>
    </w:p>
  </w:footnote>
  <w:footnote w:id="13">
    <w:p w:rsidR="000B682F" w:rsidRDefault="000B682F">
      <w:pPr>
        <w:rPr>
          <w:sz w:val="20"/>
          <w:szCs w:val="20"/>
        </w:rPr>
      </w:pPr>
      <w:r>
        <w:rPr>
          <w:rStyle w:val="FootnoteReference"/>
        </w:rPr>
        <w:footnoteRef/>
      </w:r>
      <w:r>
        <w:rPr>
          <w:sz w:val="20"/>
          <w:szCs w:val="20"/>
        </w:rPr>
        <w:t xml:space="preserve"> Borowiecki, ‘How Are You, My Dearest Mozart? Well-Being and Creativity of Three Famous Composers Based on Their Letters’; Hills et al., ‘</w:t>
      </w:r>
      <w:r>
        <w:rPr>
          <w:sz w:val="20"/>
          <w:szCs w:val="20"/>
          <w:highlight w:val="white"/>
        </w:rPr>
        <w:t>Historical Analysis of National Subjective Wellbeing Using Millions of Digitized Books’</w:t>
      </w:r>
      <w:r>
        <w:rPr>
          <w:sz w:val="20"/>
          <w:szCs w:val="20"/>
        </w:rPr>
        <w:t>; Hanna et al., ‘</w:t>
      </w:r>
      <w:r>
        <w:rPr>
          <w:sz w:val="20"/>
          <w:szCs w:val="20"/>
          <w:highlight w:val="white"/>
        </w:rPr>
        <w:t>News Media and Investor Sentiment during Bull and Bear Markets’</w:t>
      </w:r>
    </w:p>
  </w:footnote>
  <w:footnote w:id="14">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De Long and Shleifer, ‘The stock market bubble of 1929’; White, ‘The stock market boom and crash of 1929 revisited’ and Rappaport and White, ‘Was there a bubble in the 1929 stock market?’.</w:t>
      </w:r>
    </w:p>
  </w:footnote>
  <w:footnote w:id="15">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Shiller, ‘</w:t>
      </w:r>
      <w:r>
        <w:rPr>
          <w:sz w:val="18"/>
          <w:szCs w:val="18"/>
        </w:rPr>
        <w:t>Do Stock Prices Move Too Much to be justified by Subsequent Changes in Dividends?</w:t>
      </w:r>
      <w:r>
        <w:rPr>
          <w:color w:val="000000"/>
          <w:sz w:val="20"/>
          <w:szCs w:val="20"/>
        </w:rPr>
        <w:t xml:space="preserve">’ and </w:t>
      </w:r>
      <w:r>
        <w:rPr>
          <w:i/>
          <w:color w:val="000000"/>
          <w:sz w:val="20"/>
          <w:szCs w:val="20"/>
        </w:rPr>
        <w:t>Irrational Exuburance</w:t>
      </w:r>
      <w:r>
        <w:rPr>
          <w:color w:val="000000"/>
          <w:sz w:val="20"/>
          <w:szCs w:val="20"/>
        </w:rPr>
        <w:t xml:space="preserve">. </w:t>
      </w:r>
    </w:p>
  </w:footnote>
  <w:footnote w:id="16">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Tuckett and Nikolic, ‘The </w:t>
      </w:r>
      <w:r>
        <w:rPr>
          <w:sz w:val="20"/>
          <w:szCs w:val="20"/>
        </w:rPr>
        <w:t>role of conviction</w:t>
      </w:r>
      <w:r>
        <w:rPr>
          <w:color w:val="000000"/>
          <w:sz w:val="20"/>
          <w:szCs w:val="20"/>
        </w:rPr>
        <w:t xml:space="preserve"> and narrative in decision-making under radical uncertainty’. </w:t>
      </w:r>
    </w:p>
  </w:footnote>
  <w:footnote w:id="17">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Rosenberg, </w:t>
      </w:r>
      <w:r>
        <w:rPr>
          <w:i/>
          <w:color w:val="000000"/>
          <w:sz w:val="20"/>
          <w:szCs w:val="20"/>
        </w:rPr>
        <w:t>Inside the WSJ</w:t>
      </w:r>
      <w:r>
        <w:rPr>
          <w:color w:val="000000"/>
          <w:sz w:val="20"/>
          <w:szCs w:val="20"/>
        </w:rPr>
        <w:t xml:space="preserve">, p 46. </w:t>
      </w:r>
    </w:p>
  </w:footnote>
  <w:footnote w:id="18">
    <w:p w:rsidR="000B682F" w:rsidRDefault="000B682F">
      <w:pPr>
        <w:pBdr>
          <w:top w:val="nil"/>
          <w:left w:val="nil"/>
          <w:bottom w:val="nil"/>
          <w:right w:val="nil"/>
          <w:between w:val="nil"/>
        </w:pBdr>
        <w:rPr>
          <w:color w:val="000000"/>
          <w:sz w:val="20"/>
          <w:szCs w:val="20"/>
        </w:rPr>
      </w:pPr>
      <w:r>
        <w:rPr>
          <w:rStyle w:val="FootnoteReference"/>
        </w:rPr>
        <w:footnoteRef/>
      </w:r>
      <w:r>
        <w:t xml:space="preserve"> </w:t>
      </w:r>
      <w:r>
        <w:rPr>
          <w:sz w:val="20"/>
          <w:szCs w:val="20"/>
        </w:rPr>
        <w:t>Loughran and McDonald</w:t>
      </w:r>
      <w:r>
        <w:t>, ‘</w:t>
      </w:r>
      <w:r>
        <w:rPr>
          <w:color w:val="000000"/>
          <w:sz w:val="20"/>
          <w:szCs w:val="20"/>
        </w:rPr>
        <w:t>When is a liability not a liability? Textual Analysis, Dictionaries, and 10-Ks.’ Harvard-IV and Lasswell http://www.wjh.harvard.edu/~inquirer/homecat.htm</w:t>
      </w:r>
    </w:p>
  </w:footnote>
  <w:footnote w:id="19">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Tuckett and Nikolic, ‘The role of conviction and narrative in decision-making under radical uncertainty,’ and Chong and Tuckett, ‘Constructing conviction thought action and narrative’</w:t>
      </w:r>
    </w:p>
  </w:footnote>
  <w:footnote w:id="20">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Johnson, Bilovich, and Tuckett, ‘Conviction Narrative Theory: A theory of choice under radical uncertainty.’</w:t>
      </w:r>
    </w:p>
  </w:footnote>
  <w:footnote w:id="21">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Binder et. al., ‘Toward a brain-based componential semantic representation.’ </w:t>
      </w:r>
      <w:r w:rsidR="001B668F">
        <w:rPr>
          <w:color w:val="000000"/>
          <w:sz w:val="20"/>
          <w:szCs w:val="20"/>
        </w:rPr>
        <w:t>Turton et. al., ‘Differentiating approach and avoidance from traditional notions of sentiment in economic contexts.’</w:t>
      </w:r>
      <w:r>
        <w:rPr>
          <w:color w:val="000000"/>
          <w:sz w:val="20"/>
          <w:szCs w:val="20"/>
        </w:rPr>
        <w:t xml:space="preserve"> </w:t>
      </w:r>
    </w:p>
  </w:footnote>
  <w:footnote w:id="22">
    <w:p w:rsidR="000B682F" w:rsidRDefault="000B682F">
      <w:pPr>
        <w:rPr>
          <w:sz w:val="20"/>
          <w:szCs w:val="20"/>
        </w:rPr>
      </w:pPr>
      <w:r>
        <w:rPr>
          <w:rStyle w:val="FootnoteReference"/>
        </w:rPr>
        <w:footnoteRef/>
      </w:r>
      <w:r>
        <w:rPr>
          <w:sz w:val="20"/>
          <w:szCs w:val="20"/>
        </w:rPr>
        <w:t xml:space="preserve"> See appendix for full list of words</w:t>
      </w:r>
    </w:p>
  </w:footnote>
  <w:footnote w:id="23">
    <w:p w:rsidR="00C0711A" w:rsidRDefault="00C0711A">
      <w:pPr>
        <w:pStyle w:val="FootnoteText"/>
      </w:pPr>
      <w:r>
        <w:rPr>
          <w:rStyle w:val="FootnoteReference"/>
        </w:rPr>
        <w:footnoteRef/>
      </w:r>
      <w:r>
        <w:t xml:space="preserve"> Tuckett et. al. ‘Tracking phantastic objects: A computer algorithmic investigation of narrative evolution in unstructured data sources.’</w:t>
      </w:r>
    </w:p>
  </w:footnote>
  <w:footnote w:id="24">
    <w:p w:rsidR="000B682F" w:rsidRDefault="000B682F">
      <w:pPr>
        <w:rPr>
          <w:sz w:val="20"/>
          <w:szCs w:val="20"/>
        </w:rPr>
      </w:pPr>
      <w:r>
        <w:rPr>
          <w:rStyle w:val="FootnoteReference"/>
        </w:rPr>
        <w:footnoteRef/>
      </w:r>
      <w:r>
        <w:rPr>
          <w:sz w:val="20"/>
          <w:szCs w:val="20"/>
        </w:rPr>
        <w:t xml:space="preserve"> See, for example, Tuckett, </w:t>
      </w:r>
      <w:r>
        <w:rPr>
          <w:i/>
          <w:sz w:val="20"/>
          <w:szCs w:val="20"/>
        </w:rPr>
        <w:t>Minding the Markets</w:t>
      </w:r>
      <w:r>
        <w:rPr>
          <w:sz w:val="20"/>
          <w:szCs w:val="20"/>
        </w:rPr>
        <w:t xml:space="preserve">, Tuckett and Nikolic, ‘The role of conviction in decision-making under radical uncertainty’, Bruner, </w:t>
      </w:r>
      <w:r>
        <w:rPr>
          <w:i/>
          <w:sz w:val="20"/>
          <w:szCs w:val="20"/>
        </w:rPr>
        <w:t>Acts of Meaning</w:t>
      </w:r>
      <w:r>
        <w:rPr>
          <w:sz w:val="20"/>
          <w:szCs w:val="20"/>
        </w:rPr>
        <w:t xml:space="preserve">, Berezin, ‘Emotions and the economy’, Damasio, </w:t>
      </w:r>
      <w:r>
        <w:rPr>
          <w:i/>
          <w:sz w:val="20"/>
          <w:szCs w:val="20"/>
        </w:rPr>
        <w:t>The feeling of what happens</w:t>
      </w:r>
      <w:r>
        <w:rPr>
          <w:sz w:val="20"/>
          <w:szCs w:val="20"/>
        </w:rPr>
        <w:t>, and Bandelj, ‘Emotions in economic action and interaction’.</w:t>
      </w:r>
    </w:p>
  </w:footnote>
  <w:footnote w:id="25">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Manela and Moreira, ‘News implied volatility and disaster concerns’.</w:t>
      </w:r>
    </w:p>
  </w:footnote>
  <w:footnote w:id="26">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Garcia, ‘Sentiment during recessions.’</w:t>
      </w:r>
    </w:p>
  </w:footnote>
  <w:footnote w:id="27">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Rosenberg, </w:t>
      </w:r>
      <w:r>
        <w:rPr>
          <w:i/>
          <w:color w:val="000000"/>
          <w:sz w:val="20"/>
          <w:szCs w:val="20"/>
        </w:rPr>
        <w:t>Inside the WSJ</w:t>
      </w:r>
      <w:r>
        <w:rPr>
          <w:color w:val="000000"/>
          <w:sz w:val="20"/>
          <w:szCs w:val="20"/>
        </w:rPr>
        <w:t>.</w:t>
      </w:r>
    </w:p>
  </w:footnote>
  <w:footnote w:id="28">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Loughran and McDonald, ‘When is a liability not a liability? Textual Analysis, Dictionaries, and 10-Ks’.</w:t>
      </w:r>
    </w:p>
  </w:footnote>
  <w:footnote w:id="29">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Calomiris and Mamaysky, ‘How news and its context drive risk and returns around the world’.</w:t>
      </w:r>
    </w:p>
  </w:footnote>
  <w:footnote w:id="30">
    <w:p w:rsidR="000B682F" w:rsidRDefault="000B682F">
      <w:pPr>
        <w:pBdr>
          <w:top w:val="nil"/>
          <w:left w:val="nil"/>
          <w:bottom w:val="nil"/>
          <w:right w:val="nil"/>
          <w:between w:val="nil"/>
        </w:pBdr>
        <w:jc w:val="left"/>
        <w:rPr>
          <w:color w:val="000000"/>
          <w:sz w:val="20"/>
          <w:szCs w:val="20"/>
        </w:rPr>
      </w:pPr>
      <w:r>
        <w:rPr>
          <w:rStyle w:val="FootnoteReference"/>
        </w:rPr>
        <w:footnoteRef/>
      </w:r>
      <w:r>
        <w:rPr>
          <w:color w:val="000000"/>
          <w:sz w:val="20"/>
          <w:szCs w:val="20"/>
        </w:rPr>
        <w:t xml:space="preserve">IP (http://fred.stlouisfed.org/series/INDPRO) , </w:t>
      </w:r>
    </w:p>
    <w:p w:rsidR="000B682F" w:rsidRDefault="000B682F">
      <w:pPr>
        <w:pBdr>
          <w:top w:val="nil"/>
          <w:left w:val="nil"/>
          <w:bottom w:val="nil"/>
          <w:right w:val="nil"/>
          <w:between w:val="nil"/>
        </w:pBdr>
        <w:jc w:val="left"/>
        <w:rPr>
          <w:color w:val="000000"/>
          <w:sz w:val="20"/>
          <w:szCs w:val="20"/>
        </w:rPr>
      </w:pPr>
      <w:r>
        <w:rPr>
          <w:color w:val="000000"/>
          <w:sz w:val="20"/>
          <w:szCs w:val="20"/>
        </w:rPr>
        <w:t xml:space="preserve">Stock Market (http://www.econ.yale.edu/~shiller/data.htm - These data are based on Cowles (and others) </w:t>
      </w:r>
      <w:r>
        <w:rPr>
          <w:i/>
          <w:color w:val="000000"/>
          <w:sz w:val="20"/>
          <w:szCs w:val="20"/>
        </w:rPr>
        <w:t xml:space="preserve">Common Stock Indexes, 1871 –1937 </w:t>
      </w:r>
      <w:r>
        <w:rPr>
          <w:color w:val="000000"/>
          <w:sz w:val="20"/>
          <w:szCs w:val="20"/>
        </w:rPr>
        <w:t xml:space="preserve">indexes of US stock prices for 59 industrial groups. The data was accessed first in 2017.) </w:t>
      </w:r>
    </w:p>
    <w:p w:rsidR="000B682F" w:rsidRDefault="000B682F">
      <w:pPr>
        <w:pBdr>
          <w:top w:val="nil"/>
          <w:left w:val="nil"/>
          <w:bottom w:val="nil"/>
          <w:right w:val="nil"/>
          <w:between w:val="nil"/>
        </w:pBdr>
        <w:jc w:val="left"/>
        <w:rPr>
          <w:color w:val="000000"/>
          <w:sz w:val="20"/>
          <w:szCs w:val="20"/>
        </w:rPr>
      </w:pPr>
      <w:r>
        <w:rPr>
          <w:color w:val="000000"/>
          <w:sz w:val="20"/>
          <w:szCs w:val="20"/>
        </w:rPr>
        <w:t xml:space="preserve">Bank Loans (https://fred.stlouisfed.org/series/M14074USM027NNBR), </w:t>
      </w:r>
    </w:p>
    <w:p w:rsidR="000B682F" w:rsidRDefault="000B682F">
      <w:pPr>
        <w:pBdr>
          <w:top w:val="nil"/>
          <w:left w:val="nil"/>
          <w:bottom w:val="nil"/>
          <w:right w:val="nil"/>
          <w:between w:val="nil"/>
        </w:pBdr>
        <w:jc w:val="left"/>
        <w:rPr>
          <w:color w:val="000000"/>
          <w:sz w:val="20"/>
          <w:szCs w:val="20"/>
        </w:rPr>
      </w:pPr>
      <w:r>
        <w:rPr>
          <w:color w:val="000000"/>
          <w:sz w:val="20"/>
          <w:szCs w:val="20"/>
        </w:rPr>
        <w:t>CPI (https://fred.stlouisfed.org/series/M04128USM350NNBR),</w:t>
      </w:r>
    </w:p>
    <w:p w:rsidR="000B682F" w:rsidRDefault="000B682F">
      <w:pPr>
        <w:pBdr>
          <w:top w:val="nil"/>
          <w:left w:val="nil"/>
          <w:bottom w:val="nil"/>
          <w:right w:val="nil"/>
          <w:between w:val="nil"/>
        </w:pBdr>
        <w:jc w:val="left"/>
        <w:rPr>
          <w:color w:val="000000"/>
          <w:sz w:val="20"/>
          <w:szCs w:val="20"/>
        </w:rPr>
      </w:pPr>
      <w:r>
        <w:rPr>
          <w:color w:val="000000"/>
          <w:sz w:val="20"/>
          <w:szCs w:val="20"/>
        </w:rPr>
        <w:t>3-month interest rate (Data used in Cecchetti, ‘Prices during the Great Depression: Was the deflation of 1930-1932 really unanticipated?’ Interest rate data from Mankiw and Miron, ‘The changing behaviour of the Term Structure of Interest rates.’)</w:t>
      </w:r>
    </w:p>
    <w:p w:rsidR="000B682F" w:rsidRDefault="000B682F">
      <w:pPr>
        <w:pBdr>
          <w:top w:val="nil"/>
          <w:left w:val="nil"/>
          <w:bottom w:val="nil"/>
          <w:right w:val="nil"/>
          <w:between w:val="nil"/>
        </w:pBdr>
        <w:jc w:val="left"/>
        <w:rPr>
          <w:color w:val="000000"/>
          <w:sz w:val="20"/>
          <w:szCs w:val="20"/>
        </w:rPr>
      </w:pPr>
      <w:r>
        <w:rPr>
          <w:color w:val="000000"/>
          <w:sz w:val="20"/>
          <w:szCs w:val="20"/>
        </w:rPr>
        <w:t>EPU (Baker et. al., ‘Measuring economic policy uncertainty’.)</w:t>
      </w:r>
    </w:p>
  </w:footnote>
  <w:footnote w:id="31">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Bernanke, ‘Nonmonetary Effects of the Financial Crisis in the Propagation of the Great Depression’</w:t>
      </w:r>
    </w:p>
  </w:footnote>
  <w:footnote w:id="32">
    <w:p w:rsidR="000B682F" w:rsidRDefault="000B682F">
      <w:pPr>
        <w:jc w:val="left"/>
        <w:rPr>
          <w:sz w:val="20"/>
          <w:szCs w:val="20"/>
        </w:rPr>
      </w:pPr>
      <w:r>
        <w:rPr>
          <w:rStyle w:val="FootnoteReference"/>
        </w:rPr>
        <w:footnoteRef/>
      </w:r>
      <w:r>
        <w:t xml:space="preserve"> “</w:t>
      </w:r>
      <w:r>
        <w:rPr>
          <w:sz w:val="20"/>
          <w:szCs w:val="20"/>
        </w:rPr>
        <w:t>Circulation. Gains in December,” New York Times. Jan 24, 1929: 21.</w:t>
      </w:r>
    </w:p>
    <w:p w:rsidR="000B682F" w:rsidRDefault="000B682F">
      <w:pPr>
        <w:pBdr>
          <w:top w:val="nil"/>
          <w:left w:val="nil"/>
          <w:bottom w:val="nil"/>
          <w:right w:val="nil"/>
          <w:between w:val="nil"/>
        </w:pBdr>
        <w:rPr>
          <w:color w:val="000000"/>
          <w:sz w:val="20"/>
          <w:szCs w:val="20"/>
        </w:rPr>
      </w:pPr>
    </w:p>
  </w:footnote>
  <w:footnote w:id="33">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Johansen, </w:t>
      </w:r>
      <w:r>
        <w:rPr>
          <w:i/>
          <w:color w:val="000000"/>
          <w:sz w:val="20"/>
          <w:szCs w:val="20"/>
        </w:rPr>
        <w:t>Likelihood-based inference in cointegrated vector autoregressive models</w:t>
      </w:r>
      <w:r>
        <w:rPr>
          <w:color w:val="000000"/>
          <w:sz w:val="20"/>
          <w:szCs w:val="20"/>
        </w:rPr>
        <w:t>.</w:t>
      </w:r>
    </w:p>
  </w:footnote>
  <w:footnote w:id="34">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Hall, </w:t>
      </w:r>
      <w:r>
        <w:rPr>
          <w:i/>
          <w:color w:val="000000"/>
          <w:sz w:val="20"/>
          <w:szCs w:val="20"/>
        </w:rPr>
        <w:t>The bootstrap and Edgeworth expansion</w:t>
      </w:r>
      <w:r>
        <w:rPr>
          <w:color w:val="000000"/>
          <w:sz w:val="20"/>
          <w:szCs w:val="20"/>
        </w:rPr>
        <w:t>.</w:t>
      </w:r>
    </w:p>
  </w:footnote>
  <w:footnote w:id="35">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“Comptroller Williams Criticises Money Rates,” Wall Street Journal, 31 July 1920: 1 (number 1 in avoidance in July 1920).</w:t>
      </w:r>
    </w:p>
  </w:footnote>
  <w:footnote w:id="36">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“Coal May Go Back To Government Control,” Wall Street Journal 12 July 1920: 9 (number 3 in avoidance terms in July 1920). </w:t>
      </w:r>
    </w:p>
  </w:footnote>
  <w:footnote w:id="37">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“Western Bank Doubts If Prices Decline Much Wall Street Journal,” Aug 13, 1920: 10 (number 1 in avoidance in August 1920). </w:t>
      </w:r>
    </w:p>
  </w:footnote>
  <w:footnote w:id="38">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Schwab Says We Won War Shall We Win The Peace?, WSJ, April 29, 1921 (number 1 in Approach, April 1921). </w:t>
      </w:r>
    </w:p>
  </w:footnote>
  <w:footnote w:id="39">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Underwood Says Europe is Worse,  WSJ,  July 6, 1923 (number 1 in avoidance, July 1923).</w:t>
      </w:r>
    </w:p>
  </w:footnote>
  <w:footnote w:id="40">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“Herbert N. Casson, America's Progress Astounds Britain: Publication of Facts on Wealth of United States Amaze People of Older Nation,” Wall Street Journal, 19 July 1926: 10 (number 4 in approach, July 1926).</w:t>
      </w:r>
    </w:p>
  </w:footnote>
  <w:footnote w:id="41">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“Market Comment: Buying Grows in Volume Big Investment Demand,” Wall Street Journal; Jul 1, 1926: 16 (number 1 in Approach, July 1926).</w:t>
      </w:r>
    </w:p>
  </w:footnote>
  <w:footnote w:id="42">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“Gold Flowing In Both Ways: Exports Going to Canada and Germany,” Wall Street, 09 Sep 1926: 8.</w:t>
      </w:r>
    </w:p>
  </w:footnote>
  <w:footnote w:id="43">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“U.S. Steel--General Motors: B.C. Forbes Tells ‘Inside Story’ of Now Famous Articles by Dow, Jones &amp; Co.” </w:t>
      </w:r>
      <w:r>
        <w:rPr>
          <w:i/>
          <w:color w:val="000000"/>
          <w:sz w:val="20"/>
          <w:szCs w:val="20"/>
        </w:rPr>
        <w:t>Wall Street Journal</w:t>
      </w:r>
      <w:r>
        <w:rPr>
          <w:color w:val="000000"/>
          <w:sz w:val="20"/>
          <w:szCs w:val="20"/>
        </w:rPr>
        <w:t>, 01 Sep 1926: 11 (number 1 in avoidance in September 1926).</w:t>
      </w:r>
    </w:p>
  </w:footnote>
  <w:footnote w:id="44">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Market Comment, WSJ, September 30, 1926.</w:t>
      </w:r>
    </w:p>
  </w:footnote>
  <w:footnote w:id="45">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U.S. Steel - General Motors, WSJ, September 1, 1926, number 1 in avoidance September 1926.</w:t>
      </w:r>
    </w:p>
  </w:footnote>
  <w:footnote w:id="46">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Texas Suit May Not Embarrass Marland, WSJ, September 27, 1926, number 2 in avoidance September 1926.</w:t>
      </w:r>
    </w:p>
  </w:footnote>
  <w:footnote w:id="47">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Stock Exchange's Publicity Effort, WSJ, October 4, 1926, number 1 in avoidance, October 1926.</w:t>
      </w:r>
    </w:p>
  </w:footnote>
  <w:footnote w:id="48">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Bonds and Bond Men, WSJ, October 8, 1926, number 6 in avoidance, October 1926.</w:t>
      </w:r>
    </w:p>
  </w:footnote>
  <w:footnote w:id="49">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Says Germany Can Meet Reparations, WSJ, October 23, 1926, number 2 in avoidance, October 1926.</w:t>
      </w:r>
    </w:p>
  </w:footnote>
  <w:footnote w:id="50">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“Abreast of the Market: A Daily Column of Comment,” Wall Street Journal; Feb 11, 1929: 16.</w:t>
      </w:r>
    </w:p>
  </w:footnote>
  <w:footnote w:id="51">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 ‘Others’ Loans Create Alarm: City Bank Stresses Danger of Potential ...,” Wall Street Journal; Feb 4, 1929: </w:t>
      </w:r>
    </w:p>
  </w:footnote>
  <w:footnote w:id="52">
    <w:p w:rsidR="000B682F" w:rsidRDefault="000B682F">
      <w:pPr>
        <w:pBdr>
          <w:top w:val="nil"/>
          <w:left w:val="nil"/>
          <w:bottom w:val="nil"/>
          <w:right w:val="nil"/>
          <w:between w:val="nil"/>
        </w:pBdr>
        <w:rPr>
          <w:b/>
          <w:color w:val="000000"/>
          <w:sz w:val="20"/>
          <w:szCs w:val="20"/>
        </w:rPr>
      </w:pPr>
      <w:r>
        <w:rPr>
          <w:rStyle w:val="FootnoteReference"/>
        </w:rPr>
        <w:footnoteRef/>
      </w:r>
      <w:r>
        <w:rPr>
          <w:color w:val="000000"/>
          <w:sz w:val="20"/>
          <w:szCs w:val="20"/>
        </w:rPr>
        <w:t xml:space="preserve">  “No Place for Mysteries,”</w:t>
      </w:r>
      <w:r>
        <w:rPr>
          <w:b/>
          <w:color w:val="000000"/>
          <w:sz w:val="20"/>
          <w:szCs w:val="20"/>
        </w:rPr>
        <w:t xml:space="preserve"> </w:t>
      </w:r>
      <w:r>
        <w:rPr>
          <w:color w:val="000000"/>
          <w:sz w:val="20"/>
          <w:szCs w:val="20"/>
        </w:rPr>
        <w:t>Wall Street Journal</w:t>
      </w:r>
      <w:r>
        <w:rPr>
          <w:i/>
          <w:color w:val="000000"/>
          <w:sz w:val="20"/>
          <w:szCs w:val="20"/>
        </w:rPr>
        <w:t xml:space="preserve">; </w:t>
      </w:r>
      <w:r>
        <w:rPr>
          <w:color w:val="000000"/>
          <w:sz w:val="20"/>
          <w:szCs w:val="20"/>
        </w:rPr>
        <w:t>Feb 19, 1929: 1.</w:t>
      </w:r>
    </w:p>
  </w:footnote>
  <w:footnote w:id="53">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“Merger Plans of Trunk Lines: C. &amp; O. and B. &amp; O. Unification ... ,from the Wall Street Journal Washington Bureau,” Wall Street Journal; Feb 21, 1929: 1.</w:t>
      </w:r>
    </w:p>
  </w:footnote>
  <w:footnote w:id="54">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Roosevelt Sees, WSJ, July 28, 1933 (number 1 in Avoidance, July 1933).</w:t>
      </w:r>
    </w:p>
  </w:footnote>
  <w:footnote w:id="55">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Oil, Coal Codes Raise Questions of Labor Costs, WSJ, July 15 1933 (number 3 in Avoidance, July 1933).</w:t>
      </w:r>
    </w:p>
  </w:footnote>
  <w:footnote w:id="56">
    <w:p w:rsidR="000B682F" w:rsidRDefault="000B68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Currency Alone May Rule Trade, WSJ, July 8, 1933 (number 13 in Avoidance, July 1933).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D552D6"/>
    <w:multiLevelType w:val="multilevel"/>
    <w:tmpl w:val="69FEB97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7A0A1915"/>
    <w:multiLevelType w:val="multilevel"/>
    <w:tmpl w:val="F3546692"/>
    <w:lvl w:ilvl="0">
      <w:start w:val="1"/>
      <w:numFmt w:val="decimal"/>
      <w:lvlText w:val="%1"/>
      <w:lvlJc w:val="left"/>
      <w:pPr>
        <w:ind w:left="432" w:hanging="432"/>
      </w:pPr>
      <w:rPr>
        <w:rFonts w:ascii="Times New Roman" w:eastAsia="Times New Roman" w:hAnsi="Times New Roman" w:cs="Times New Roman"/>
        <w:b w:val="0"/>
        <w:i w:val="0"/>
        <w:smallCaps w:val="0"/>
        <w:strike w:val="0"/>
        <w:u w:val="none"/>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F36"/>
    <w:rsid w:val="000B682F"/>
    <w:rsid w:val="001B668F"/>
    <w:rsid w:val="00222F36"/>
    <w:rsid w:val="002A7011"/>
    <w:rsid w:val="006C3679"/>
    <w:rsid w:val="00832DB3"/>
    <w:rsid w:val="008B1906"/>
    <w:rsid w:val="00937363"/>
    <w:rsid w:val="009C474D"/>
    <w:rsid w:val="00C0711A"/>
    <w:rsid w:val="00C30D87"/>
    <w:rsid w:val="00C830C6"/>
    <w:rsid w:val="00D17069"/>
    <w:rsid w:val="00EB6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6DCA5"/>
  <w15:docId w15:val="{E4025441-5671-4BE8-BED2-E4E879141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5CBA"/>
  </w:style>
  <w:style w:type="paragraph" w:styleId="Heading1">
    <w:name w:val="heading 1"/>
    <w:basedOn w:val="Normal"/>
    <w:next w:val="Normal"/>
    <w:link w:val="Heading1Char"/>
    <w:uiPriority w:val="9"/>
    <w:qFormat/>
    <w:rsid w:val="00841695"/>
    <w:pPr>
      <w:keepLines/>
      <w:numPr>
        <w:numId w:val="2"/>
      </w:numPr>
      <w:spacing w:before="240" w:after="160"/>
      <w:outlineLvl w:val="0"/>
    </w:pPr>
    <w:rPr>
      <w:rFonts w:eastAsiaTheme="majorEastAsia"/>
      <w:b/>
      <w:sz w:val="28"/>
      <w:szCs w:val="28"/>
      <w:lang w:val="en-US"/>
    </w:rPr>
  </w:style>
  <w:style w:type="paragraph" w:styleId="Heading2">
    <w:name w:val="heading 2"/>
    <w:basedOn w:val="Normal"/>
    <w:next w:val="Normal"/>
    <w:link w:val="Heading2Char"/>
    <w:uiPriority w:val="9"/>
    <w:unhideWhenUsed/>
    <w:qFormat/>
    <w:rsid w:val="00841695"/>
    <w:pPr>
      <w:keepLines/>
      <w:numPr>
        <w:ilvl w:val="1"/>
        <w:numId w:val="2"/>
      </w:numPr>
      <w:spacing w:before="40" w:after="160"/>
      <w:outlineLvl w:val="1"/>
    </w:pPr>
    <w:rPr>
      <w:rFonts w:eastAsiaTheme="majorEastAsia"/>
      <w:b/>
      <w:sz w:val="26"/>
      <w:szCs w:val="26"/>
      <w:lang w:val="en-US"/>
    </w:rPr>
  </w:style>
  <w:style w:type="paragraph" w:styleId="Heading3">
    <w:name w:val="heading 3"/>
    <w:basedOn w:val="Normal"/>
    <w:next w:val="Normal"/>
    <w:link w:val="Heading3Char"/>
    <w:uiPriority w:val="9"/>
    <w:unhideWhenUsed/>
    <w:qFormat/>
    <w:rsid w:val="009977A7"/>
    <w:pPr>
      <w:keepNext/>
      <w:keepLines/>
      <w:numPr>
        <w:ilvl w:val="2"/>
        <w:numId w:val="2"/>
      </w:numPr>
      <w:tabs>
        <w:tab w:val="clear" w:pos="2160"/>
        <w:tab w:val="num" w:pos="360"/>
      </w:tabs>
      <w:spacing w:before="40"/>
      <w:ind w:left="0" w:firstLine="0"/>
      <w:outlineLvl w:val="2"/>
    </w:pPr>
    <w:rPr>
      <w:rFonts w:eastAsiaTheme="majorEastAsia"/>
      <w:b/>
      <w:color w:val="243F60" w:themeColor="accent1" w:themeShade="7F"/>
      <w:lang w:val="en-US"/>
    </w:rPr>
  </w:style>
  <w:style w:type="paragraph" w:styleId="Heading4">
    <w:name w:val="heading 4"/>
    <w:basedOn w:val="Normal"/>
    <w:next w:val="Normal"/>
    <w:link w:val="Heading4Char"/>
    <w:uiPriority w:val="9"/>
    <w:unhideWhenUsed/>
    <w:qFormat/>
    <w:rsid w:val="00022415"/>
    <w:pPr>
      <w:keepNext/>
      <w:keepLines/>
      <w:numPr>
        <w:ilvl w:val="3"/>
        <w:numId w:val="2"/>
      </w:numPr>
      <w:tabs>
        <w:tab w:val="clear" w:pos="2880"/>
        <w:tab w:val="num" w:pos="360"/>
      </w:tabs>
      <w:spacing w:before="40"/>
      <w:ind w:left="0" w:firstLine="0"/>
      <w:outlineLvl w:val="3"/>
    </w:pPr>
    <w:rPr>
      <w:rFonts w:asciiTheme="majorHAnsi" w:eastAsiaTheme="majorEastAsia" w:hAnsiTheme="majorHAnsi" w:cstheme="majorBidi"/>
      <w:i/>
      <w:iCs/>
      <w:color w:val="365F91" w:themeColor="accent1" w:themeShade="BF"/>
      <w:lang w:val="en-US"/>
    </w:rPr>
  </w:style>
  <w:style w:type="paragraph" w:styleId="Heading5">
    <w:name w:val="heading 5"/>
    <w:basedOn w:val="Normal"/>
    <w:next w:val="Normal"/>
    <w:link w:val="Heading5Char"/>
    <w:uiPriority w:val="9"/>
    <w:unhideWhenUsed/>
    <w:qFormat/>
    <w:rsid w:val="00022415"/>
    <w:pPr>
      <w:keepNext/>
      <w:keepLines/>
      <w:numPr>
        <w:ilvl w:val="4"/>
        <w:numId w:val="2"/>
      </w:numPr>
      <w:tabs>
        <w:tab w:val="clear" w:pos="3600"/>
        <w:tab w:val="num" w:pos="360"/>
      </w:tabs>
      <w:spacing w:before="40"/>
      <w:ind w:left="0" w:firstLine="0"/>
      <w:outlineLvl w:val="4"/>
    </w:pPr>
    <w:rPr>
      <w:rFonts w:asciiTheme="majorHAnsi" w:eastAsiaTheme="majorEastAsia" w:hAnsiTheme="majorHAnsi" w:cstheme="majorBidi"/>
      <w:color w:val="365F91" w:themeColor="accent1" w:themeShade="BF"/>
      <w:lang w:val="en-US"/>
    </w:rPr>
  </w:style>
  <w:style w:type="paragraph" w:styleId="Heading6">
    <w:name w:val="heading 6"/>
    <w:basedOn w:val="Normal"/>
    <w:next w:val="Normal"/>
    <w:link w:val="Heading6Char"/>
    <w:uiPriority w:val="9"/>
    <w:unhideWhenUsed/>
    <w:qFormat/>
    <w:rsid w:val="00022415"/>
    <w:pPr>
      <w:keepNext/>
      <w:keepLines/>
      <w:numPr>
        <w:ilvl w:val="5"/>
        <w:numId w:val="2"/>
      </w:numPr>
      <w:tabs>
        <w:tab w:val="clear" w:pos="4320"/>
        <w:tab w:val="num" w:pos="360"/>
      </w:tabs>
      <w:spacing w:before="40"/>
      <w:ind w:left="0" w:firstLine="0"/>
      <w:outlineLvl w:val="5"/>
    </w:pPr>
    <w:rPr>
      <w:rFonts w:asciiTheme="majorHAnsi" w:eastAsiaTheme="majorEastAsia" w:hAnsiTheme="majorHAnsi" w:cstheme="majorBidi"/>
      <w:color w:val="243F60" w:themeColor="accent1" w:themeShade="7F"/>
      <w:lang w:val="en-US"/>
    </w:rPr>
  </w:style>
  <w:style w:type="paragraph" w:styleId="Heading7">
    <w:name w:val="heading 7"/>
    <w:basedOn w:val="Normal"/>
    <w:next w:val="Normal"/>
    <w:link w:val="Heading7Char"/>
    <w:uiPriority w:val="9"/>
    <w:unhideWhenUsed/>
    <w:qFormat/>
    <w:rsid w:val="00022415"/>
    <w:pPr>
      <w:keepNext/>
      <w:keepLines/>
      <w:numPr>
        <w:ilvl w:val="6"/>
        <w:numId w:val="2"/>
      </w:numPr>
      <w:tabs>
        <w:tab w:val="num" w:pos="360"/>
      </w:tabs>
      <w:spacing w:before="40"/>
      <w:ind w:left="0" w:firstLine="0"/>
      <w:outlineLvl w:val="6"/>
    </w:pPr>
    <w:rPr>
      <w:rFonts w:asciiTheme="majorHAnsi" w:eastAsiaTheme="majorEastAsia" w:hAnsiTheme="majorHAnsi" w:cstheme="majorBidi"/>
      <w:i/>
      <w:iCs/>
      <w:color w:val="243F60" w:themeColor="accent1" w:themeShade="7F"/>
      <w:lang w:val="en-US"/>
    </w:rPr>
  </w:style>
  <w:style w:type="paragraph" w:styleId="Heading8">
    <w:name w:val="heading 8"/>
    <w:basedOn w:val="Normal"/>
    <w:next w:val="Normal"/>
    <w:link w:val="Heading8Char"/>
    <w:uiPriority w:val="9"/>
    <w:semiHidden/>
    <w:unhideWhenUsed/>
    <w:qFormat/>
    <w:rsid w:val="0002241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02241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A5CBA"/>
    <w:pPr>
      <w:spacing w:line="240" w:lineRule="auto"/>
      <w:contextualSpacing/>
    </w:pPr>
    <w:rPr>
      <w:rFonts w:eastAsiaTheme="majorEastAsia"/>
      <w:spacing w:val="-10"/>
      <w:kern w:val="28"/>
      <w:sz w:val="36"/>
      <w:szCs w:val="36"/>
    </w:rPr>
  </w:style>
  <w:style w:type="character" w:customStyle="1" w:styleId="Heading1Char">
    <w:name w:val="Heading 1 Char"/>
    <w:basedOn w:val="DefaultParagraphFont"/>
    <w:link w:val="Heading1"/>
    <w:uiPriority w:val="9"/>
    <w:rsid w:val="00841695"/>
    <w:rPr>
      <w:rFonts w:ascii="Times New Roman" w:eastAsiaTheme="majorEastAsia" w:hAnsi="Times New Roman" w:cs="Times New Roman"/>
      <w:b/>
      <w:sz w:val="28"/>
      <w:szCs w:val="28"/>
    </w:rPr>
  </w:style>
  <w:style w:type="character" w:customStyle="1" w:styleId="Heading2Char">
    <w:name w:val="Heading 2 Char"/>
    <w:basedOn w:val="DefaultParagraphFont"/>
    <w:link w:val="Heading2"/>
    <w:uiPriority w:val="9"/>
    <w:rsid w:val="00841695"/>
    <w:rPr>
      <w:rFonts w:ascii="Times New Roman" w:eastAsiaTheme="majorEastAsia" w:hAnsi="Times New Roman" w:cs="Times New Roman"/>
      <w:b/>
      <w:sz w:val="26"/>
      <w:szCs w:val="26"/>
    </w:rPr>
  </w:style>
  <w:style w:type="character" w:customStyle="1" w:styleId="Heading3Char">
    <w:name w:val="Heading 3 Char"/>
    <w:basedOn w:val="DefaultParagraphFont"/>
    <w:link w:val="Heading3"/>
    <w:uiPriority w:val="9"/>
    <w:rsid w:val="009977A7"/>
    <w:rPr>
      <w:rFonts w:ascii="Times New Roman" w:eastAsiaTheme="majorEastAsia" w:hAnsi="Times New Roman" w:cs="Times New Roman"/>
      <w:b/>
      <w:color w:val="243F60" w:themeColor="accent1" w:themeShade="7F"/>
    </w:rPr>
  </w:style>
  <w:style w:type="character" w:customStyle="1" w:styleId="Heading4Char">
    <w:name w:val="Heading 4 Char"/>
    <w:basedOn w:val="DefaultParagraphFont"/>
    <w:link w:val="Heading4"/>
    <w:uiPriority w:val="9"/>
    <w:rsid w:val="0002241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02241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02241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02241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02241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22415"/>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E10FAA"/>
    <w:rPr>
      <w:sz w:val="18"/>
      <w:szCs w:val="18"/>
    </w:rPr>
  </w:style>
  <w:style w:type="paragraph" w:styleId="CommentText">
    <w:name w:val="annotation text"/>
    <w:basedOn w:val="Normal"/>
    <w:link w:val="CommentTextChar"/>
    <w:uiPriority w:val="99"/>
    <w:unhideWhenUsed/>
    <w:rsid w:val="00E10FAA"/>
    <w:pPr>
      <w:spacing w:after="160"/>
    </w:pPr>
    <w:rPr>
      <w:color w:val="000000" w:themeColor="text1"/>
      <w:lang w:val="en-US"/>
    </w:rPr>
  </w:style>
  <w:style w:type="character" w:customStyle="1" w:styleId="CommentTextChar">
    <w:name w:val="Comment Text Char"/>
    <w:basedOn w:val="DefaultParagraphFont"/>
    <w:link w:val="CommentText"/>
    <w:uiPriority w:val="99"/>
    <w:rsid w:val="00E10FAA"/>
  </w:style>
  <w:style w:type="paragraph" w:styleId="CommentSubject">
    <w:name w:val="annotation subject"/>
    <w:basedOn w:val="CommentText"/>
    <w:next w:val="CommentText"/>
    <w:link w:val="CommentSubjectChar"/>
    <w:uiPriority w:val="99"/>
    <w:semiHidden/>
    <w:unhideWhenUsed/>
    <w:rsid w:val="00E10FAA"/>
    <w:rPr>
      <w:b/>
      <w:bCs/>
      <w:sz w:val="20"/>
      <w:szCs w:val="20"/>
    </w:rPr>
  </w:style>
  <w:style w:type="character" w:customStyle="1" w:styleId="CommentSubjectChar">
    <w:name w:val="Comment Subject Char"/>
    <w:basedOn w:val="CommentTextChar"/>
    <w:link w:val="CommentSubject"/>
    <w:uiPriority w:val="99"/>
    <w:semiHidden/>
    <w:rsid w:val="00E10FAA"/>
    <w:rPr>
      <w:b/>
      <w:bCs/>
      <w:sz w:val="20"/>
      <w:szCs w:val="20"/>
    </w:rPr>
  </w:style>
  <w:style w:type="paragraph" w:styleId="BalloonText">
    <w:name w:val="Balloon Text"/>
    <w:basedOn w:val="Normal"/>
    <w:link w:val="BalloonTextChar"/>
    <w:uiPriority w:val="99"/>
    <w:semiHidden/>
    <w:unhideWhenUsed/>
    <w:rsid w:val="00E10FAA"/>
    <w:pPr>
      <w:spacing w:after="160"/>
    </w:pPr>
    <w:rPr>
      <w:rFonts w:ascii="Lucida Grande" w:hAnsi="Lucida Grande"/>
      <w:color w:val="000000" w:themeColor="text1"/>
      <w:sz w:val="18"/>
      <w:szCs w:val="18"/>
      <w:lang w:val="en-US"/>
    </w:rPr>
  </w:style>
  <w:style w:type="character" w:customStyle="1" w:styleId="BalloonTextChar">
    <w:name w:val="Balloon Text Char"/>
    <w:basedOn w:val="DefaultParagraphFont"/>
    <w:link w:val="BalloonText"/>
    <w:uiPriority w:val="99"/>
    <w:semiHidden/>
    <w:rsid w:val="00E10FAA"/>
    <w:rPr>
      <w:rFonts w:ascii="Lucida Grande" w:hAnsi="Lucida Grande"/>
      <w:sz w:val="18"/>
      <w:szCs w:val="18"/>
    </w:rPr>
  </w:style>
  <w:style w:type="paragraph" w:customStyle="1" w:styleId="Default">
    <w:name w:val="Default"/>
    <w:rsid w:val="009C78FA"/>
    <w:pPr>
      <w:autoSpaceDE w:val="0"/>
      <w:autoSpaceDN w:val="0"/>
      <w:adjustRightInd w:val="0"/>
    </w:pPr>
    <w:rPr>
      <w:color w:val="000000"/>
    </w:rPr>
  </w:style>
  <w:style w:type="paragraph" w:styleId="FootnoteText">
    <w:name w:val="footnote text"/>
    <w:basedOn w:val="Normal"/>
    <w:link w:val="FootnoteTextChar"/>
    <w:uiPriority w:val="99"/>
    <w:unhideWhenUsed/>
    <w:rsid w:val="00BE7DA6"/>
    <w:rPr>
      <w:color w:val="000000" w:themeColor="text1"/>
      <w:sz w:val="20"/>
      <w:szCs w:val="20"/>
      <w:lang w:val="en-US"/>
    </w:rPr>
  </w:style>
  <w:style w:type="character" w:customStyle="1" w:styleId="FootnoteTextChar">
    <w:name w:val="Footnote Text Char"/>
    <w:basedOn w:val="DefaultParagraphFont"/>
    <w:link w:val="FootnoteText"/>
    <w:uiPriority w:val="99"/>
    <w:rsid w:val="00BE7DA6"/>
    <w:rPr>
      <w:sz w:val="20"/>
      <w:szCs w:val="20"/>
    </w:rPr>
  </w:style>
  <w:style w:type="character" w:styleId="FootnoteReference">
    <w:name w:val="footnote reference"/>
    <w:basedOn w:val="DefaultParagraphFont"/>
    <w:uiPriority w:val="99"/>
    <w:unhideWhenUsed/>
    <w:rsid w:val="00BE7DA6"/>
    <w:rPr>
      <w:vertAlign w:val="superscript"/>
    </w:rPr>
  </w:style>
  <w:style w:type="paragraph" w:styleId="BodyText">
    <w:name w:val="Body Text"/>
    <w:basedOn w:val="Normal"/>
    <w:link w:val="BodyTextChar"/>
    <w:uiPriority w:val="1"/>
    <w:qFormat/>
    <w:rsid w:val="00FB2301"/>
    <w:pPr>
      <w:widowControl w:val="0"/>
      <w:autoSpaceDE w:val="0"/>
      <w:autoSpaceDN w:val="0"/>
    </w:pPr>
    <w:rPr>
      <w:color w:val="000000" w:themeColor="text1"/>
      <w:sz w:val="23"/>
      <w:szCs w:val="23"/>
      <w:lang w:val="en-US"/>
    </w:rPr>
  </w:style>
  <w:style w:type="character" w:customStyle="1" w:styleId="BodyTextChar">
    <w:name w:val="Body Text Char"/>
    <w:basedOn w:val="DefaultParagraphFont"/>
    <w:link w:val="BodyText"/>
    <w:uiPriority w:val="1"/>
    <w:rsid w:val="00FB2301"/>
    <w:rPr>
      <w:rFonts w:ascii="Times New Roman" w:eastAsia="Times New Roman" w:hAnsi="Times New Roman" w:cs="Times New Roman"/>
      <w:sz w:val="23"/>
      <w:szCs w:val="23"/>
    </w:rPr>
  </w:style>
  <w:style w:type="paragraph" w:styleId="ListParagraph">
    <w:name w:val="List Paragraph"/>
    <w:basedOn w:val="Normal"/>
    <w:uiPriority w:val="34"/>
    <w:qFormat/>
    <w:rsid w:val="00FB2301"/>
    <w:pPr>
      <w:widowControl w:val="0"/>
      <w:autoSpaceDE w:val="0"/>
      <w:autoSpaceDN w:val="0"/>
      <w:ind w:left="827" w:hanging="361"/>
    </w:pPr>
    <w:rPr>
      <w:color w:val="000000" w:themeColor="text1"/>
      <w:sz w:val="22"/>
      <w:szCs w:val="22"/>
      <w:lang w:val="en-US"/>
    </w:rPr>
  </w:style>
  <w:style w:type="paragraph" w:customStyle="1" w:styleId="TableParagraph">
    <w:name w:val="Table Paragraph"/>
    <w:basedOn w:val="Normal"/>
    <w:uiPriority w:val="1"/>
    <w:qFormat/>
    <w:rsid w:val="00FB2301"/>
    <w:pPr>
      <w:widowControl w:val="0"/>
      <w:autoSpaceDE w:val="0"/>
      <w:autoSpaceDN w:val="0"/>
    </w:pPr>
    <w:rPr>
      <w:color w:val="000000" w:themeColor="text1"/>
      <w:sz w:val="22"/>
      <w:szCs w:val="22"/>
      <w:lang w:val="en-US"/>
    </w:rPr>
  </w:style>
  <w:style w:type="paragraph" w:styleId="HTMLPreformatted">
    <w:name w:val="HTML Preformatted"/>
    <w:basedOn w:val="Normal"/>
    <w:link w:val="HTMLPreformattedChar"/>
    <w:uiPriority w:val="99"/>
    <w:unhideWhenUsed/>
    <w:rsid w:val="00E36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themeColor="text1"/>
      <w:sz w:val="20"/>
      <w:szCs w:val="20"/>
    </w:rPr>
  </w:style>
  <w:style w:type="character" w:customStyle="1" w:styleId="HTMLPreformattedChar">
    <w:name w:val="HTML Preformatted Char"/>
    <w:basedOn w:val="DefaultParagraphFont"/>
    <w:link w:val="HTMLPreformatted"/>
    <w:uiPriority w:val="99"/>
    <w:rsid w:val="00E36608"/>
    <w:rPr>
      <w:rFonts w:ascii="Courier New" w:eastAsiaTheme="minorHAnsi" w:hAnsi="Courier New" w:cs="Courier New"/>
      <w:sz w:val="20"/>
      <w:szCs w:val="20"/>
      <w:lang w:val="en-GB" w:eastAsia="en-GB"/>
    </w:rPr>
  </w:style>
  <w:style w:type="paragraph" w:styleId="Revision">
    <w:name w:val="Revision"/>
    <w:hidden/>
    <w:uiPriority w:val="99"/>
    <w:semiHidden/>
    <w:rsid w:val="005D0413"/>
  </w:style>
  <w:style w:type="paragraph" w:styleId="NormalWeb">
    <w:name w:val="Normal (Web)"/>
    <w:basedOn w:val="Normal"/>
    <w:uiPriority w:val="99"/>
    <w:unhideWhenUsed/>
    <w:rsid w:val="00BF4DCD"/>
    <w:pPr>
      <w:spacing w:before="100" w:beforeAutospacing="1" w:after="100" w:afterAutospacing="1"/>
    </w:pPr>
    <w:rPr>
      <w:rFonts w:ascii="Times" w:hAnsi="Times"/>
      <w:color w:val="000000" w:themeColor="text1"/>
      <w:sz w:val="20"/>
      <w:szCs w:val="20"/>
    </w:rPr>
  </w:style>
  <w:style w:type="character" w:customStyle="1" w:styleId="selectable">
    <w:name w:val="selectable"/>
    <w:basedOn w:val="DefaultParagraphFont"/>
    <w:rsid w:val="008A4A40"/>
  </w:style>
  <w:style w:type="character" w:styleId="Hyperlink">
    <w:name w:val="Hyperlink"/>
    <w:basedOn w:val="DefaultParagraphFont"/>
    <w:uiPriority w:val="99"/>
    <w:unhideWhenUsed/>
    <w:rsid w:val="008A4A40"/>
    <w:rPr>
      <w:color w:val="0000FF" w:themeColor="hyperlink"/>
      <w:u w:val="single"/>
    </w:rPr>
  </w:style>
  <w:style w:type="table" w:styleId="TableGrid">
    <w:name w:val="Table Grid"/>
    <w:basedOn w:val="TableNormal"/>
    <w:uiPriority w:val="39"/>
    <w:rsid w:val="00330740"/>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695201"/>
    <w:pPr>
      <w:tabs>
        <w:tab w:val="center" w:pos="4513"/>
        <w:tab w:val="right" w:pos="9026"/>
      </w:tabs>
    </w:pPr>
    <w:rPr>
      <w:color w:val="000000" w:themeColor="text1"/>
      <w:lang w:val="en-US"/>
    </w:rPr>
  </w:style>
  <w:style w:type="character" w:customStyle="1" w:styleId="HeaderChar">
    <w:name w:val="Header Char"/>
    <w:basedOn w:val="DefaultParagraphFont"/>
    <w:link w:val="Header"/>
    <w:uiPriority w:val="99"/>
    <w:rsid w:val="00695201"/>
  </w:style>
  <w:style w:type="paragraph" w:styleId="Footer">
    <w:name w:val="footer"/>
    <w:basedOn w:val="Normal"/>
    <w:link w:val="FooterChar"/>
    <w:uiPriority w:val="99"/>
    <w:unhideWhenUsed/>
    <w:rsid w:val="00695201"/>
    <w:pPr>
      <w:tabs>
        <w:tab w:val="center" w:pos="4513"/>
        <w:tab w:val="right" w:pos="9026"/>
      </w:tabs>
    </w:pPr>
    <w:rPr>
      <w:color w:val="000000" w:themeColor="text1"/>
      <w:lang w:val="en-US"/>
    </w:rPr>
  </w:style>
  <w:style w:type="character" w:customStyle="1" w:styleId="FooterChar">
    <w:name w:val="Footer Char"/>
    <w:basedOn w:val="DefaultParagraphFont"/>
    <w:link w:val="Footer"/>
    <w:uiPriority w:val="99"/>
    <w:rsid w:val="00695201"/>
  </w:style>
  <w:style w:type="paragraph" w:customStyle="1" w:styleId="MTDisplayEquation">
    <w:name w:val="MTDisplayEquation"/>
    <w:basedOn w:val="Normal"/>
    <w:next w:val="Normal"/>
    <w:link w:val="MTDisplayEquationChar"/>
    <w:rsid w:val="00046995"/>
    <w:pPr>
      <w:tabs>
        <w:tab w:val="center" w:pos="5640"/>
        <w:tab w:val="right" w:pos="9120"/>
      </w:tabs>
      <w:spacing w:after="160"/>
      <w:ind w:left="2160" w:hanging="2160"/>
    </w:pPr>
    <w:rPr>
      <w:rFonts w:ascii="Arial" w:hAnsi="Arial" w:cs="Arial"/>
      <w:color w:val="000000" w:themeColor="text1"/>
    </w:rPr>
  </w:style>
  <w:style w:type="character" w:customStyle="1" w:styleId="MTDisplayEquationChar">
    <w:name w:val="MTDisplayEquation Char"/>
    <w:basedOn w:val="DefaultParagraphFont"/>
    <w:link w:val="MTDisplayEquation"/>
    <w:rsid w:val="00046995"/>
    <w:rPr>
      <w:rFonts w:ascii="Arial" w:hAnsi="Arial" w:cs="Arial"/>
      <w:lang w:val="en-GB"/>
    </w:rPr>
  </w:style>
  <w:style w:type="paragraph" w:styleId="Caption">
    <w:name w:val="caption"/>
    <w:basedOn w:val="Normal"/>
    <w:next w:val="Normal"/>
    <w:uiPriority w:val="35"/>
    <w:unhideWhenUsed/>
    <w:qFormat/>
    <w:rsid w:val="00022415"/>
    <w:pPr>
      <w:spacing w:after="200"/>
      <w:jc w:val="center"/>
    </w:pPr>
    <w:rPr>
      <w:rFonts w:eastAsiaTheme="minorHAnsi"/>
      <w:b/>
      <w:iCs/>
      <w:noProof/>
      <w:lang w:val="en-US"/>
    </w:rPr>
  </w:style>
  <w:style w:type="paragraph" w:customStyle="1" w:styleId="Datadefinitions">
    <w:name w:val="Data definitions"/>
    <w:basedOn w:val="Normal"/>
    <w:autoRedefine/>
    <w:qFormat/>
    <w:rsid w:val="008B0642"/>
    <w:rPr>
      <w:rFonts w:eastAsia="Calibri"/>
      <w:color w:val="000000" w:themeColor="text1"/>
      <w:sz w:val="20"/>
      <w:szCs w:val="20"/>
    </w:rPr>
  </w:style>
  <w:style w:type="character" w:styleId="HTMLCite">
    <w:name w:val="HTML Cite"/>
    <w:basedOn w:val="DefaultParagraphFont"/>
    <w:uiPriority w:val="99"/>
    <w:semiHidden/>
    <w:unhideWhenUsed/>
    <w:rsid w:val="004E1A4F"/>
    <w:rPr>
      <w:i/>
      <w:iCs/>
      <w:vanish w:val="0"/>
      <w:webHidden w:val="0"/>
      <w:specVanish w:val="0"/>
    </w:rPr>
  </w:style>
  <w:style w:type="character" w:customStyle="1" w:styleId="author5">
    <w:name w:val="author5"/>
    <w:basedOn w:val="DefaultParagraphFont"/>
    <w:rsid w:val="004E1A4F"/>
    <w:rPr>
      <w:color w:val="668E9E"/>
      <w:sz w:val="24"/>
      <w:szCs w:val="24"/>
    </w:rPr>
  </w:style>
  <w:style w:type="character" w:customStyle="1" w:styleId="year2">
    <w:name w:val="year2"/>
    <w:basedOn w:val="DefaultParagraphFont"/>
    <w:rsid w:val="004E1A4F"/>
  </w:style>
  <w:style w:type="character" w:customStyle="1" w:styleId="title19">
    <w:name w:val="title19"/>
    <w:basedOn w:val="DefaultParagraphFont"/>
    <w:rsid w:val="004E1A4F"/>
  </w:style>
  <w:style w:type="character" w:customStyle="1" w:styleId="journal5">
    <w:name w:val="journal5"/>
    <w:basedOn w:val="DefaultParagraphFont"/>
    <w:rsid w:val="004E1A4F"/>
    <w:rPr>
      <w:i/>
      <w:iCs/>
    </w:rPr>
  </w:style>
  <w:style w:type="character" w:customStyle="1" w:styleId="vol2">
    <w:name w:val="vol2"/>
    <w:basedOn w:val="DefaultParagraphFont"/>
    <w:rsid w:val="004E1A4F"/>
  </w:style>
  <w:style w:type="character" w:customStyle="1" w:styleId="pages4">
    <w:name w:val="pages4"/>
    <w:basedOn w:val="DefaultParagraphFont"/>
    <w:rsid w:val="004E1A4F"/>
  </w:style>
  <w:style w:type="paragraph" w:styleId="EndnoteText">
    <w:name w:val="endnote text"/>
    <w:basedOn w:val="Normal"/>
    <w:link w:val="EndnoteTextChar"/>
    <w:uiPriority w:val="99"/>
    <w:semiHidden/>
    <w:unhideWhenUsed/>
    <w:rsid w:val="00D740FA"/>
    <w:rPr>
      <w:color w:val="000000" w:themeColor="text1"/>
      <w:sz w:val="20"/>
      <w:szCs w:val="20"/>
      <w:lang w:val="en-US"/>
    </w:rPr>
  </w:style>
  <w:style w:type="character" w:customStyle="1" w:styleId="EndnoteTextChar">
    <w:name w:val="Endnote Text Char"/>
    <w:basedOn w:val="DefaultParagraphFont"/>
    <w:link w:val="EndnoteText"/>
    <w:uiPriority w:val="99"/>
    <w:semiHidden/>
    <w:rsid w:val="00D740FA"/>
    <w:rPr>
      <w:rFonts w:ascii="Times New Roman" w:eastAsia="Times New Roman" w:hAnsi="Times New Roman" w:cs="Times New Roman"/>
      <w:color w:val="000000" w:themeColor="text1"/>
      <w:sz w:val="20"/>
      <w:szCs w:val="20"/>
    </w:rPr>
  </w:style>
  <w:style w:type="character" w:styleId="EndnoteReference">
    <w:name w:val="endnote reference"/>
    <w:basedOn w:val="DefaultParagraphFont"/>
    <w:uiPriority w:val="99"/>
    <w:semiHidden/>
    <w:unhideWhenUsed/>
    <w:rsid w:val="00D740FA"/>
    <w:rPr>
      <w:vertAlign w:val="superscript"/>
    </w:rPr>
  </w:style>
  <w:style w:type="paragraph" w:styleId="NoSpacing">
    <w:name w:val="No Spacing"/>
    <w:link w:val="NoSpacingChar"/>
    <w:uiPriority w:val="1"/>
    <w:qFormat/>
    <w:rsid w:val="001F2C32"/>
    <w:pPr>
      <w:keepNext/>
      <w:contextualSpacing/>
    </w:pPr>
    <w:rPr>
      <w:color w:val="000000" w:themeColor="text1"/>
    </w:rPr>
  </w:style>
  <w:style w:type="character" w:customStyle="1" w:styleId="NoSpacingChar">
    <w:name w:val="No Spacing Char"/>
    <w:basedOn w:val="DefaultParagraphFont"/>
    <w:link w:val="NoSpacing"/>
    <w:uiPriority w:val="1"/>
    <w:rsid w:val="00B11F55"/>
    <w:rPr>
      <w:rFonts w:ascii="Times New Roman" w:eastAsia="Times New Roman" w:hAnsi="Times New Roman" w:cs="Times New Roman"/>
      <w:color w:val="000000" w:themeColor="text1"/>
    </w:rPr>
  </w:style>
  <w:style w:type="character" w:styleId="FollowedHyperlink">
    <w:name w:val="FollowedHyperlink"/>
    <w:basedOn w:val="DefaultParagraphFont"/>
    <w:uiPriority w:val="99"/>
    <w:semiHidden/>
    <w:unhideWhenUsed/>
    <w:rsid w:val="007664E6"/>
    <w:rPr>
      <w:color w:val="800080" w:themeColor="followedHyperlink"/>
      <w:u w:val="single"/>
    </w:rPr>
  </w:style>
  <w:style w:type="character" w:customStyle="1" w:styleId="apple-converted-space">
    <w:name w:val="apple-converted-space"/>
    <w:basedOn w:val="DefaultParagraphFont"/>
    <w:rsid w:val="003912D0"/>
  </w:style>
  <w:style w:type="character" w:customStyle="1" w:styleId="UnresolvedMention1">
    <w:name w:val="Unresolved Mention1"/>
    <w:basedOn w:val="DefaultParagraphFont"/>
    <w:uiPriority w:val="99"/>
    <w:semiHidden/>
    <w:unhideWhenUsed/>
    <w:rsid w:val="00F76F12"/>
    <w:rPr>
      <w:color w:val="605E5C"/>
      <w:shd w:val="clear" w:color="auto" w:fill="E1DFDD"/>
    </w:rPr>
  </w:style>
  <w:style w:type="character" w:styleId="PlaceholderText">
    <w:name w:val="Placeholder Text"/>
    <w:basedOn w:val="DefaultParagraphFont"/>
    <w:uiPriority w:val="99"/>
    <w:semiHidden/>
    <w:rsid w:val="00B11060"/>
    <w:rPr>
      <w:color w:val="808080"/>
    </w:rPr>
  </w:style>
  <w:style w:type="character" w:customStyle="1" w:styleId="MTEquationSection">
    <w:name w:val="MTEquationSection"/>
    <w:basedOn w:val="DefaultParagraphFont"/>
    <w:rsid w:val="00F32B8B"/>
    <w:rPr>
      <w:vanish/>
      <w:color w:val="FF0000"/>
      <w:sz w:val="32"/>
      <w:szCs w:val="32"/>
    </w:rPr>
  </w:style>
  <w:style w:type="character" w:customStyle="1" w:styleId="MTConvertedEquation">
    <w:name w:val="MTConvertedEquation"/>
    <w:basedOn w:val="DefaultParagraphFont"/>
    <w:rsid w:val="00F32B8B"/>
    <w:rPr>
      <w:rFonts w:ascii="Times New Roman" w:hAnsi="Times New Roman" w:cs="Times New Roman"/>
    </w:rPr>
  </w:style>
  <w:style w:type="paragraph" w:styleId="Subtitle">
    <w:name w:val="Subtitle"/>
    <w:basedOn w:val="Normal"/>
    <w:next w:val="Normal"/>
    <w:link w:val="SubtitleChar"/>
    <w:pPr>
      <w:spacing w:after="160"/>
    </w:pPr>
    <w:rPr>
      <w:b/>
      <w:color w:val="5A5A5A"/>
    </w:rPr>
  </w:style>
  <w:style w:type="character" w:customStyle="1" w:styleId="SubtitleChar">
    <w:name w:val="Subtitle Char"/>
    <w:basedOn w:val="DefaultParagraphFont"/>
    <w:link w:val="Subtitle"/>
    <w:uiPriority w:val="11"/>
    <w:rsid w:val="00625E97"/>
    <w:rPr>
      <w:rFonts w:ascii="Times New Roman" w:hAnsi="Times New Roman" w:cs="Times New Roman"/>
      <w:b/>
      <w:color w:val="5A5A5A" w:themeColor="text1" w:themeTint="A5"/>
      <w:spacing w:val="15"/>
    </w:rPr>
  </w:style>
  <w:style w:type="character" w:customStyle="1" w:styleId="TitleChar">
    <w:name w:val="Title Char"/>
    <w:basedOn w:val="DefaultParagraphFont"/>
    <w:link w:val="Title"/>
    <w:uiPriority w:val="10"/>
    <w:rsid w:val="004A5CBA"/>
    <w:rPr>
      <w:rFonts w:ascii="Times New Roman" w:eastAsiaTheme="majorEastAsia" w:hAnsi="Times New Roman" w:cs="Times New Roman"/>
      <w:spacing w:val="-10"/>
      <w:kern w:val="28"/>
      <w:sz w:val="36"/>
      <w:szCs w:val="36"/>
      <w:lang w:val="en-GB"/>
    </w:rPr>
  </w:style>
  <w:style w:type="character" w:customStyle="1" w:styleId="QuoteChar">
    <w:name w:val="Quote Char"/>
    <w:basedOn w:val="DefaultParagraphFont"/>
    <w:link w:val="Quote"/>
    <w:uiPriority w:val="29"/>
    <w:rsid w:val="00D23D19"/>
    <w:rPr>
      <w:rFonts w:ascii="Times New Roman" w:eastAsiaTheme="minorHAnsi" w:hAnsi="Times New Roman" w:cs="Times New Roman"/>
      <w:i/>
      <w:iCs/>
      <w:color w:val="404040" w:themeColor="text1" w:themeTint="BF"/>
    </w:rPr>
  </w:style>
  <w:style w:type="paragraph" w:styleId="Quote">
    <w:name w:val="Quote"/>
    <w:basedOn w:val="Normal"/>
    <w:next w:val="Normal"/>
    <w:link w:val="QuoteChar"/>
    <w:uiPriority w:val="29"/>
    <w:qFormat/>
    <w:rsid w:val="00D23D19"/>
    <w:pPr>
      <w:spacing w:before="200" w:after="160" w:line="259" w:lineRule="auto"/>
      <w:ind w:left="864" w:right="864"/>
      <w:jc w:val="center"/>
    </w:pPr>
    <w:rPr>
      <w:rFonts w:eastAsiaTheme="minorHAnsi"/>
      <w:i/>
      <w:iCs/>
      <w:color w:val="404040" w:themeColor="text1" w:themeTint="BF"/>
      <w:lang w:val="en-US"/>
    </w:rPr>
  </w:style>
  <w:style w:type="character" w:customStyle="1" w:styleId="IntenseQuoteChar">
    <w:name w:val="Intense Quote Char"/>
    <w:basedOn w:val="DefaultParagraphFont"/>
    <w:link w:val="IntenseQuote"/>
    <w:uiPriority w:val="30"/>
    <w:rsid w:val="00D23D19"/>
    <w:rPr>
      <w:rFonts w:ascii="Times New Roman" w:eastAsiaTheme="minorHAnsi" w:hAnsi="Times New Roman" w:cs="Times New Roman"/>
      <w:i/>
      <w:iCs/>
      <w:color w:val="4F81BD" w:themeColor="accent1"/>
    </w:rPr>
  </w:style>
  <w:style w:type="paragraph" w:styleId="IntenseQuote">
    <w:name w:val="Intense Quote"/>
    <w:basedOn w:val="Normal"/>
    <w:next w:val="Normal"/>
    <w:link w:val="IntenseQuoteChar"/>
    <w:uiPriority w:val="30"/>
    <w:qFormat/>
    <w:rsid w:val="00D23D19"/>
    <w:pPr>
      <w:pBdr>
        <w:top w:val="single" w:sz="4" w:space="10" w:color="4F81BD" w:themeColor="accent1"/>
        <w:bottom w:val="single" w:sz="4" w:space="10" w:color="4F81BD" w:themeColor="accent1"/>
      </w:pBdr>
      <w:spacing w:before="360" w:after="360" w:line="259" w:lineRule="auto"/>
      <w:ind w:left="864" w:right="864"/>
      <w:jc w:val="center"/>
    </w:pPr>
    <w:rPr>
      <w:rFonts w:eastAsiaTheme="minorHAnsi"/>
      <w:i/>
      <w:iCs/>
      <w:color w:val="4F81BD" w:themeColor="accent1"/>
      <w:lang w:val="en-US"/>
    </w:rPr>
  </w:style>
  <w:style w:type="table" w:customStyle="1" w:styleId="a">
    <w:basedOn w:val="TableNormal"/>
    <w:tblPr>
      <w:tblStyleRowBandSize w:val="1"/>
      <w:tblStyleColBandSize w:val="1"/>
      <w:tblCellMar>
        <w:left w:w="115" w:type="dxa"/>
        <w:right w:w="115" w:type="dxa"/>
      </w:tblCellMar>
    </w:tblPr>
  </w:style>
  <w:style w:type="character" w:styleId="SubtleEmphasis">
    <w:name w:val="Subtle Emphasis"/>
    <w:basedOn w:val="DefaultParagraphFont"/>
    <w:uiPriority w:val="19"/>
    <w:qFormat/>
    <w:rsid w:val="00173BCA"/>
    <w:rPr>
      <w:i/>
      <w:iCs/>
      <w:color w:val="404040" w:themeColor="text1" w:themeTint="BF"/>
    </w:rPr>
  </w:style>
  <w:style w:type="character" w:styleId="Emphasis">
    <w:name w:val="Emphasis"/>
    <w:basedOn w:val="DefaultParagraphFont"/>
    <w:uiPriority w:val="20"/>
    <w:qFormat/>
    <w:rsid w:val="00173BCA"/>
    <w:rPr>
      <w:i/>
      <w:iCs/>
    </w:rPr>
  </w:style>
  <w:style w:type="character" w:styleId="IntenseEmphasis">
    <w:name w:val="Intense Emphasis"/>
    <w:basedOn w:val="DefaultParagraphFont"/>
    <w:uiPriority w:val="21"/>
    <w:qFormat/>
    <w:rsid w:val="00173BCA"/>
    <w:rPr>
      <w:i/>
      <w:iCs/>
      <w:color w:val="4F81BD" w:themeColor="accent1"/>
    </w:rPr>
  </w:style>
  <w:style w:type="character" w:styleId="Strong">
    <w:name w:val="Strong"/>
    <w:basedOn w:val="DefaultParagraphFont"/>
    <w:uiPriority w:val="22"/>
    <w:qFormat/>
    <w:rsid w:val="00173BCA"/>
    <w:rPr>
      <w:b/>
      <w:bCs/>
    </w:rPr>
  </w:style>
  <w:style w:type="character" w:styleId="SubtleReference">
    <w:name w:val="Subtle Reference"/>
    <w:basedOn w:val="DefaultParagraphFont"/>
    <w:uiPriority w:val="31"/>
    <w:qFormat/>
    <w:rsid w:val="00173BCA"/>
    <w:rPr>
      <w:smallCaps/>
      <w:color w:val="5A5A5A" w:themeColor="text1" w:themeTint="A5"/>
    </w:rPr>
  </w:style>
  <w:style w:type="character" w:styleId="IntenseReference">
    <w:name w:val="Intense Reference"/>
    <w:basedOn w:val="DefaultParagraphFont"/>
    <w:uiPriority w:val="32"/>
    <w:qFormat/>
    <w:rsid w:val="00173BCA"/>
    <w:rPr>
      <w:b/>
      <w:bCs/>
      <w:smallCaps/>
      <w:color w:val="4F81BD" w:themeColor="accent1"/>
      <w:spacing w:val="5"/>
    </w:rPr>
  </w:style>
  <w:style w:type="character" w:styleId="BookTitle">
    <w:name w:val="Book Title"/>
    <w:basedOn w:val="DefaultParagraphFont"/>
    <w:uiPriority w:val="33"/>
    <w:qFormat/>
    <w:rsid w:val="00173BCA"/>
    <w:rPr>
      <w:b/>
      <w:bCs/>
      <w:i/>
      <w:iCs/>
      <w:spacing w:val="5"/>
    </w:rPr>
  </w:style>
  <w:style w:type="table" w:customStyle="1" w:styleId="a0">
    <w:basedOn w:val="TableNormal"/>
    <w:rPr>
      <w:sz w:val="20"/>
      <w:szCs w:val="20"/>
    </w:rPr>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rPr>
      <w:sz w:val="20"/>
      <w:szCs w:val="20"/>
    </w:rPr>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rPr>
      <w:sz w:val="20"/>
      <w:szCs w:val="20"/>
    </w:rPr>
    <w:tblPr>
      <w:tblStyleRowBandSize w:val="1"/>
      <w:tblStyleColBandSize w:val="1"/>
      <w:tblCellMar>
        <w:left w:w="115" w:type="dxa"/>
        <w:right w:w="115" w:type="dxa"/>
      </w:tblCellMar>
    </w:tblPr>
  </w:style>
  <w:style w:type="table" w:customStyle="1" w:styleId="a9">
    <w:basedOn w:val="TableNormal"/>
    <w:rPr>
      <w:sz w:val="20"/>
      <w:szCs w:val="20"/>
    </w:rPr>
    <w:tblPr>
      <w:tblStyleRowBandSize w:val="1"/>
      <w:tblStyleColBandSize w:val="1"/>
      <w:tblCellMar>
        <w:left w:w="115" w:type="dxa"/>
        <w:right w:w="115" w:type="dxa"/>
      </w:tblCellMar>
    </w:tblPr>
  </w:style>
  <w:style w:type="table" w:customStyle="1" w:styleId="aa">
    <w:basedOn w:val="TableNormal"/>
    <w:rPr>
      <w:sz w:val="20"/>
      <w:szCs w:val="20"/>
    </w:rPr>
    <w:tblPr>
      <w:tblStyleRowBandSize w:val="1"/>
      <w:tblStyleColBandSize w:val="1"/>
      <w:tblCellMar>
        <w:left w:w="115" w:type="dxa"/>
        <w:right w:w="115" w:type="dxa"/>
      </w:tblCellMar>
    </w:tblPr>
  </w:style>
  <w:style w:type="table" w:customStyle="1" w:styleId="ab">
    <w:basedOn w:val="TableNormal"/>
    <w:rPr>
      <w:sz w:val="20"/>
      <w:szCs w:val="20"/>
    </w:rPr>
    <w:tblPr>
      <w:tblStyleRowBandSize w:val="1"/>
      <w:tblStyleColBandSize w:val="1"/>
      <w:tblCellMar>
        <w:left w:w="115" w:type="dxa"/>
        <w:right w:w="115" w:type="dxa"/>
      </w:tblCellMar>
    </w:tblPr>
  </w:style>
  <w:style w:type="table" w:customStyle="1" w:styleId="ac">
    <w:basedOn w:val="TableNormal"/>
    <w:rPr>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369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3.bin"/><Relationship Id="rId21" Type="http://schemas.openxmlformats.org/officeDocument/2006/relationships/oleObject" Target="embeddings/oleObject5.bin"/><Relationship Id="rId63" Type="http://schemas.openxmlformats.org/officeDocument/2006/relationships/hyperlink" Target="https://doi.org/10.1108/jes.2001.28.6.446.1" TargetMode="External"/><Relationship Id="rId159" Type="http://schemas.openxmlformats.org/officeDocument/2006/relationships/oleObject" Target="embeddings/oleObject58.bin"/><Relationship Id="rId170" Type="http://schemas.openxmlformats.org/officeDocument/2006/relationships/oleObject" Target="embeddings/oleObject67.bin"/><Relationship Id="rId191" Type="http://schemas.openxmlformats.org/officeDocument/2006/relationships/oleObject" Target="embeddings/oleObject85.bin"/><Relationship Id="rId205" Type="http://schemas.openxmlformats.org/officeDocument/2006/relationships/oleObject" Target="embeddings/oleObject97.bin"/><Relationship Id="rId226" Type="http://schemas.openxmlformats.org/officeDocument/2006/relationships/image" Target="media/image84.png"/><Relationship Id="rId247" Type="http://schemas.openxmlformats.org/officeDocument/2006/relationships/oleObject" Target="embeddings/oleObject119.bin"/><Relationship Id="rId107" Type="http://schemas.openxmlformats.org/officeDocument/2006/relationships/oleObject" Target="embeddings/oleObject28.bin"/><Relationship Id="rId11" Type="http://schemas.openxmlformats.org/officeDocument/2006/relationships/image" Target="media/image2.wmf"/><Relationship Id="rId32" Type="http://schemas.openxmlformats.org/officeDocument/2006/relationships/oleObject" Target="embeddings/oleObject10.bin"/><Relationship Id="rId53" Type="http://schemas.openxmlformats.org/officeDocument/2006/relationships/hyperlink" Target="https://doi.org/10.1257/aer.103.3.147" TargetMode="External"/><Relationship Id="rId74" Type="http://schemas.openxmlformats.org/officeDocument/2006/relationships/image" Target="media/image28.png"/><Relationship Id="rId128" Type="http://schemas.openxmlformats.org/officeDocument/2006/relationships/image" Target="media/image56.wmf"/><Relationship Id="rId149" Type="http://schemas.openxmlformats.org/officeDocument/2006/relationships/oleObject" Target="embeddings/oleObject49.bin"/><Relationship Id="rId5" Type="http://schemas.openxmlformats.org/officeDocument/2006/relationships/settings" Target="settings.xml"/><Relationship Id="rId95" Type="http://schemas.openxmlformats.org/officeDocument/2006/relationships/oleObject" Target="embeddings/oleObject22.bin"/><Relationship Id="rId160" Type="http://schemas.openxmlformats.org/officeDocument/2006/relationships/oleObject" Target="embeddings/oleObject59.bin"/><Relationship Id="rId181" Type="http://schemas.openxmlformats.org/officeDocument/2006/relationships/oleObject" Target="embeddings/oleObject77.bin"/><Relationship Id="rId216" Type="http://schemas.openxmlformats.org/officeDocument/2006/relationships/oleObject" Target="embeddings/oleObject107.bin"/><Relationship Id="rId237" Type="http://schemas.openxmlformats.org/officeDocument/2006/relationships/oleObject" Target="embeddings/oleObject109.bin"/><Relationship Id="rId258" Type="http://schemas.openxmlformats.org/officeDocument/2006/relationships/hyperlink" Target="http://www.wileyauthors.com/eeo/promotion" TargetMode="External"/><Relationship Id="rId22" Type="http://schemas.openxmlformats.org/officeDocument/2006/relationships/image" Target="media/image9.wmf"/><Relationship Id="rId43" Type="http://schemas.openxmlformats.org/officeDocument/2006/relationships/image" Target="media/image23.png"/><Relationship Id="rId64" Type="http://schemas.openxmlformats.org/officeDocument/2006/relationships/hyperlink" Target="https://doi.org/10.1111/j.1540-6261.2007.01232.x" TargetMode="External"/><Relationship Id="rId118" Type="http://schemas.openxmlformats.org/officeDocument/2006/relationships/image" Target="media/image51.wmf"/><Relationship Id="rId139" Type="http://schemas.openxmlformats.org/officeDocument/2006/relationships/oleObject" Target="embeddings/oleObject44.bin"/><Relationship Id="rId85" Type="http://schemas.openxmlformats.org/officeDocument/2006/relationships/oleObject" Target="embeddings/oleObject17.bin"/><Relationship Id="rId150" Type="http://schemas.openxmlformats.org/officeDocument/2006/relationships/oleObject" Target="embeddings/oleObject50.bin"/><Relationship Id="rId171" Type="http://schemas.openxmlformats.org/officeDocument/2006/relationships/oleObject" Target="embeddings/oleObject68.bin"/><Relationship Id="rId192" Type="http://schemas.openxmlformats.org/officeDocument/2006/relationships/oleObject" Target="embeddings/oleObject86.bin"/><Relationship Id="rId206" Type="http://schemas.openxmlformats.org/officeDocument/2006/relationships/oleObject" Target="embeddings/oleObject98.bin"/><Relationship Id="rId227" Type="http://schemas.openxmlformats.org/officeDocument/2006/relationships/image" Target="media/image85.png"/><Relationship Id="rId248" Type="http://schemas.openxmlformats.org/officeDocument/2006/relationships/oleObject" Target="embeddings/oleObject120.bin"/><Relationship Id="rId12" Type="http://schemas.openxmlformats.org/officeDocument/2006/relationships/oleObject" Target="embeddings/oleObject2.bin"/><Relationship Id="rId33" Type="http://schemas.openxmlformats.org/officeDocument/2006/relationships/image" Target="media/image15.wmf"/><Relationship Id="rId108" Type="http://schemas.openxmlformats.org/officeDocument/2006/relationships/image" Target="media/image46.wmf"/><Relationship Id="rId129" Type="http://schemas.openxmlformats.org/officeDocument/2006/relationships/oleObject" Target="embeddings/oleObject39.bin"/><Relationship Id="rId54" Type="http://schemas.openxmlformats.org/officeDocument/2006/relationships/hyperlink" Target="https://www.bankofengland.co.uk/quarterly-bulletin/2013/q2/macroeconomic-uncertainty-what-is-it-how-can-we-measure-it-and-why-does-it-matter" TargetMode="External"/><Relationship Id="rId75" Type="http://schemas.openxmlformats.org/officeDocument/2006/relationships/image" Target="media/image29.png"/><Relationship Id="rId96" Type="http://schemas.openxmlformats.org/officeDocument/2006/relationships/image" Target="media/image40.wmf"/><Relationship Id="rId140" Type="http://schemas.openxmlformats.org/officeDocument/2006/relationships/image" Target="media/image62.wmf"/><Relationship Id="rId161" Type="http://schemas.openxmlformats.org/officeDocument/2006/relationships/oleObject" Target="embeddings/oleObject60.bin"/><Relationship Id="rId182" Type="http://schemas.openxmlformats.org/officeDocument/2006/relationships/oleObject" Target="embeddings/oleObject78.bin"/><Relationship Id="rId217" Type="http://schemas.openxmlformats.org/officeDocument/2006/relationships/oleObject" Target="embeddings/oleObject108.bin"/><Relationship Id="rId6" Type="http://schemas.openxmlformats.org/officeDocument/2006/relationships/webSettings" Target="webSettings.xml"/><Relationship Id="rId238" Type="http://schemas.openxmlformats.org/officeDocument/2006/relationships/oleObject" Target="embeddings/oleObject110.bin"/><Relationship Id="rId259" Type="http://schemas.openxmlformats.org/officeDocument/2006/relationships/hyperlink" Target="http://www.wileyauthors.com/eeo/guide" TargetMode="External"/><Relationship Id="rId23" Type="http://schemas.openxmlformats.org/officeDocument/2006/relationships/oleObject" Target="embeddings/oleObject6.bin"/><Relationship Id="rId119" Type="http://schemas.openxmlformats.org/officeDocument/2006/relationships/oleObject" Target="embeddings/oleObject34.bin"/><Relationship Id="rId44" Type="http://schemas.openxmlformats.org/officeDocument/2006/relationships/image" Target="media/image24.png"/><Relationship Id="rId65" Type="http://schemas.openxmlformats.org/officeDocument/2006/relationships/hyperlink" Target="https://doi.org/10.1057/9780230307827" TargetMode="External"/><Relationship Id="rId86" Type="http://schemas.openxmlformats.org/officeDocument/2006/relationships/image" Target="media/image35.wmf"/><Relationship Id="rId130" Type="http://schemas.openxmlformats.org/officeDocument/2006/relationships/image" Target="media/image57.wmf"/><Relationship Id="rId151" Type="http://schemas.openxmlformats.org/officeDocument/2006/relationships/oleObject" Target="embeddings/oleObject51.bin"/><Relationship Id="rId172" Type="http://schemas.openxmlformats.org/officeDocument/2006/relationships/oleObject" Target="embeddings/oleObject69.bin"/><Relationship Id="rId193" Type="http://schemas.openxmlformats.org/officeDocument/2006/relationships/oleObject" Target="embeddings/oleObject87.bin"/><Relationship Id="rId207" Type="http://schemas.openxmlformats.org/officeDocument/2006/relationships/oleObject" Target="embeddings/oleObject99.bin"/><Relationship Id="rId228" Type="http://schemas.openxmlformats.org/officeDocument/2006/relationships/image" Target="media/image86.png"/><Relationship Id="rId249" Type="http://schemas.openxmlformats.org/officeDocument/2006/relationships/oleObject" Target="embeddings/oleObject121.bin"/><Relationship Id="rId13" Type="http://schemas.openxmlformats.org/officeDocument/2006/relationships/image" Target="media/image3.wmf"/><Relationship Id="rId109" Type="http://schemas.openxmlformats.org/officeDocument/2006/relationships/oleObject" Target="embeddings/oleObject29.bin"/><Relationship Id="rId260" Type="http://schemas.openxmlformats.org/officeDocument/2006/relationships/footer" Target="footer1.xml"/><Relationship Id="rId34" Type="http://schemas.openxmlformats.org/officeDocument/2006/relationships/oleObject" Target="embeddings/oleObject11.bin"/><Relationship Id="rId55" Type="http://schemas.openxmlformats.org/officeDocument/2006/relationships/hyperlink" Target="https://doi.org/10.1093/0198774508.001.0001" TargetMode="External"/><Relationship Id="rId76" Type="http://schemas.openxmlformats.org/officeDocument/2006/relationships/image" Target="media/image30.wmf"/><Relationship Id="rId97" Type="http://schemas.openxmlformats.org/officeDocument/2006/relationships/oleObject" Target="embeddings/oleObject23.bin"/><Relationship Id="rId120" Type="http://schemas.openxmlformats.org/officeDocument/2006/relationships/image" Target="media/image52.wmf"/><Relationship Id="rId141" Type="http://schemas.openxmlformats.org/officeDocument/2006/relationships/oleObject" Target="embeddings/oleObject45.bin"/><Relationship Id="rId7" Type="http://schemas.openxmlformats.org/officeDocument/2006/relationships/footnotes" Target="footnotes.xml"/><Relationship Id="rId162" Type="http://schemas.openxmlformats.org/officeDocument/2006/relationships/image" Target="media/image68.wmf"/><Relationship Id="rId183" Type="http://schemas.openxmlformats.org/officeDocument/2006/relationships/image" Target="media/image71.wmf"/><Relationship Id="rId218" Type="http://schemas.openxmlformats.org/officeDocument/2006/relationships/image" Target="media/image76.png"/><Relationship Id="rId239" Type="http://schemas.openxmlformats.org/officeDocument/2006/relationships/oleObject" Target="embeddings/oleObject111.bin"/><Relationship Id="rId250" Type="http://schemas.openxmlformats.org/officeDocument/2006/relationships/oleObject" Target="embeddings/oleObject122.bin"/><Relationship Id="rId24" Type="http://schemas.openxmlformats.org/officeDocument/2006/relationships/image" Target="media/image10.wmf"/><Relationship Id="rId45" Type="http://schemas.openxmlformats.org/officeDocument/2006/relationships/hyperlink" Target="https://doi.org/10.1093/qje/qjw024" TargetMode="External"/><Relationship Id="rId66" Type="http://schemas.openxmlformats.org/officeDocument/2006/relationships/hyperlink" Target="https://ssrn.com/abstract=2405447" TargetMode="External"/><Relationship Id="rId87" Type="http://schemas.openxmlformats.org/officeDocument/2006/relationships/oleObject" Target="embeddings/oleObject18.bin"/><Relationship Id="rId110" Type="http://schemas.openxmlformats.org/officeDocument/2006/relationships/image" Target="media/image47.wmf"/><Relationship Id="rId131" Type="http://schemas.openxmlformats.org/officeDocument/2006/relationships/oleObject" Target="embeddings/oleObject40.bin"/><Relationship Id="rId152" Type="http://schemas.openxmlformats.org/officeDocument/2006/relationships/oleObject" Target="embeddings/oleObject52.bin"/><Relationship Id="rId173" Type="http://schemas.openxmlformats.org/officeDocument/2006/relationships/oleObject" Target="embeddings/oleObject70.bin"/><Relationship Id="rId194" Type="http://schemas.openxmlformats.org/officeDocument/2006/relationships/oleObject" Target="embeddings/oleObject88.bin"/><Relationship Id="rId208" Type="http://schemas.openxmlformats.org/officeDocument/2006/relationships/oleObject" Target="embeddings/oleObject100.bin"/><Relationship Id="rId229" Type="http://schemas.openxmlformats.org/officeDocument/2006/relationships/image" Target="media/image87.png"/><Relationship Id="rId240" Type="http://schemas.openxmlformats.org/officeDocument/2006/relationships/oleObject" Target="embeddings/oleObject112.bin"/><Relationship Id="rId261" Type="http://schemas.openxmlformats.org/officeDocument/2006/relationships/fontTable" Target="fontTable.xml"/><Relationship Id="rId14" Type="http://schemas.openxmlformats.org/officeDocument/2006/relationships/oleObject" Target="embeddings/oleObject3.bin"/><Relationship Id="rId35" Type="http://schemas.openxmlformats.org/officeDocument/2006/relationships/image" Target="media/image16.wmf"/><Relationship Id="rId56" Type="http://schemas.openxmlformats.org/officeDocument/2006/relationships/hyperlink" Target="https://ideas.repec.org/s/eee/jfinec.html" TargetMode="External"/><Relationship Id="rId77" Type="http://schemas.openxmlformats.org/officeDocument/2006/relationships/oleObject" Target="embeddings/oleObject13.bin"/><Relationship Id="rId100" Type="http://schemas.openxmlformats.org/officeDocument/2006/relationships/image" Target="media/image42.wmf"/><Relationship Id="rId8" Type="http://schemas.openxmlformats.org/officeDocument/2006/relationships/endnotes" Target="endnotes.xml"/><Relationship Id="rId98" Type="http://schemas.openxmlformats.org/officeDocument/2006/relationships/image" Target="media/image41.wmf"/><Relationship Id="rId121" Type="http://schemas.openxmlformats.org/officeDocument/2006/relationships/oleObject" Target="embeddings/oleObject35.bin"/><Relationship Id="rId142" Type="http://schemas.openxmlformats.org/officeDocument/2006/relationships/image" Target="media/image63.wmf"/><Relationship Id="rId163" Type="http://schemas.openxmlformats.org/officeDocument/2006/relationships/oleObject" Target="embeddings/oleObject61.bin"/><Relationship Id="rId184" Type="http://schemas.openxmlformats.org/officeDocument/2006/relationships/oleObject" Target="embeddings/oleObject79.bin"/><Relationship Id="rId219" Type="http://schemas.openxmlformats.org/officeDocument/2006/relationships/image" Target="media/image77.png"/><Relationship Id="rId230" Type="http://schemas.openxmlformats.org/officeDocument/2006/relationships/image" Target="media/image88.png"/><Relationship Id="rId251" Type="http://schemas.openxmlformats.org/officeDocument/2006/relationships/oleObject" Target="embeddings/oleObject123.bin"/><Relationship Id="rId25" Type="http://schemas.openxmlformats.org/officeDocument/2006/relationships/oleObject" Target="embeddings/oleObject7.bin"/><Relationship Id="rId46" Type="http://schemas.openxmlformats.org/officeDocument/2006/relationships/hyperlink" Target="https://doi.org/10.1007/s11186-009-9088-2" TargetMode="External"/><Relationship Id="rId67" Type="http://schemas.openxmlformats.org/officeDocument/2006/relationships/hyperlink" Target="https://dx.doi.org/10.2139/ssrn.2405447" TargetMode="External"/><Relationship Id="rId88" Type="http://schemas.openxmlformats.org/officeDocument/2006/relationships/image" Target="media/image36.wmf"/><Relationship Id="rId111" Type="http://schemas.openxmlformats.org/officeDocument/2006/relationships/oleObject" Target="embeddings/oleObject30.bin"/><Relationship Id="rId132" Type="http://schemas.openxmlformats.org/officeDocument/2006/relationships/image" Target="media/image58.wmf"/><Relationship Id="rId153" Type="http://schemas.openxmlformats.org/officeDocument/2006/relationships/oleObject" Target="embeddings/oleObject53.bin"/><Relationship Id="rId174" Type="http://schemas.openxmlformats.org/officeDocument/2006/relationships/oleObject" Target="embeddings/oleObject71.bin"/><Relationship Id="rId195" Type="http://schemas.openxmlformats.org/officeDocument/2006/relationships/oleObject" Target="embeddings/oleObject89.bin"/><Relationship Id="rId209" Type="http://schemas.openxmlformats.org/officeDocument/2006/relationships/oleObject" Target="embeddings/oleObject101.bin"/><Relationship Id="rId220" Type="http://schemas.openxmlformats.org/officeDocument/2006/relationships/image" Target="media/image78.png"/><Relationship Id="rId241" Type="http://schemas.openxmlformats.org/officeDocument/2006/relationships/oleObject" Target="embeddings/oleObject113.bin"/><Relationship Id="rId15" Type="http://schemas.openxmlformats.org/officeDocument/2006/relationships/image" Target="media/image4.wmf"/><Relationship Id="rId36" Type="http://schemas.openxmlformats.org/officeDocument/2006/relationships/oleObject" Target="embeddings/oleObject12.bin"/><Relationship Id="rId57" Type="http://schemas.openxmlformats.org/officeDocument/2006/relationships/hyperlink" Target="https://doi.org/10.1016/j.jfineco.2016.01.032%C2%A0" TargetMode="External"/><Relationship Id="rId262" Type="http://schemas.openxmlformats.org/officeDocument/2006/relationships/theme" Target="theme/theme1.xml"/><Relationship Id="rId78" Type="http://schemas.openxmlformats.org/officeDocument/2006/relationships/image" Target="media/image31.wmf"/><Relationship Id="rId99" Type="http://schemas.openxmlformats.org/officeDocument/2006/relationships/oleObject" Target="embeddings/oleObject24.bin"/><Relationship Id="rId101" Type="http://schemas.openxmlformats.org/officeDocument/2006/relationships/oleObject" Target="embeddings/oleObject25.bin"/><Relationship Id="rId122" Type="http://schemas.openxmlformats.org/officeDocument/2006/relationships/image" Target="media/image53.wmf"/><Relationship Id="rId143" Type="http://schemas.openxmlformats.org/officeDocument/2006/relationships/oleObject" Target="embeddings/oleObject46.bin"/><Relationship Id="rId164" Type="http://schemas.openxmlformats.org/officeDocument/2006/relationships/oleObject" Target="embeddings/oleObject62.bin"/><Relationship Id="rId185" Type="http://schemas.openxmlformats.org/officeDocument/2006/relationships/oleObject" Target="embeddings/oleObject80.bin"/><Relationship Id="rId9" Type="http://schemas.openxmlformats.org/officeDocument/2006/relationships/image" Target="media/image1.wmf"/><Relationship Id="rId210" Type="http://schemas.openxmlformats.org/officeDocument/2006/relationships/oleObject" Target="embeddings/oleObject102.bin"/><Relationship Id="rId26" Type="http://schemas.openxmlformats.org/officeDocument/2006/relationships/image" Target="media/image11.png"/><Relationship Id="rId231" Type="http://schemas.openxmlformats.org/officeDocument/2006/relationships/image" Target="media/image89.png"/><Relationship Id="rId252" Type="http://schemas.openxmlformats.org/officeDocument/2006/relationships/oleObject" Target="embeddings/oleObject124.bin"/><Relationship Id="rId47" Type="http://schemas.openxmlformats.org/officeDocument/2006/relationships/hyperlink" Target="https://doi.org/10.1515/9781400835584.109" TargetMode="External"/><Relationship Id="rId68" Type="http://schemas.openxmlformats.org/officeDocument/2006/relationships/hyperlink" Target="https://doi.org/10.1177/0959354317713158" TargetMode="External"/><Relationship Id="rId89" Type="http://schemas.openxmlformats.org/officeDocument/2006/relationships/oleObject" Target="embeddings/oleObject19.bin"/><Relationship Id="rId112" Type="http://schemas.openxmlformats.org/officeDocument/2006/relationships/image" Target="media/image48.wmf"/><Relationship Id="rId133" Type="http://schemas.openxmlformats.org/officeDocument/2006/relationships/oleObject" Target="embeddings/oleObject41.bin"/><Relationship Id="rId154" Type="http://schemas.openxmlformats.org/officeDocument/2006/relationships/oleObject" Target="embeddings/oleObject54.bin"/><Relationship Id="rId175" Type="http://schemas.openxmlformats.org/officeDocument/2006/relationships/oleObject" Target="embeddings/oleObject72.bin"/><Relationship Id="rId196" Type="http://schemas.openxmlformats.org/officeDocument/2006/relationships/oleObject" Target="embeddings/oleObject90.bin"/><Relationship Id="rId200" Type="http://schemas.openxmlformats.org/officeDocument/2006/relationships/oleObject" Target="embeddings/oleObject93.bin"/><Relationship Id="rId16" Type="http://schemas.openxmlformats.org/officeDocument/2006/relationships/oleObject" Target="embeddings/oleObject4.bin"/><Relationship Id="rId221" Type="http://schemas.openxmlformats.org/officeDocument/2006/relationships/image" Target="media/image79.png"/><Relationship Id="rId242" Type="http://schemas.openxmlformats.org/officeDocument/2006/relationships/oleObject" Target="embeddings/oleObject114.bin"/><Relationship Id="rId37" Type="http://schemas.openxmlformats.org/officeDocument/2006/relationships/image" Target="media/image17.png"/><Relationship Id="rId58" Type="http://schemas.openxmlformats.org/officeDocument/2006/relationships/hyperlink" Target="https://doi.org/10.2139/ssrn.138980" TargetMode="External"/><Relationship Id="rId79" Type="http://schemas.openxmlformats.org/officeDocument/2006/relationships/oleObject" Target="embeddings/oleObject14.bin"/><Relationship Id="rId102" Type="http://schemas.openxmlformats.org/officeDocument/2006/relationships/image" Target="media/image43.wmf"/><Relationship Id="rId123" Type="http://schemas.openxmlformats.org/officeDocument/2006/relationships/oleObject" Target="embeddings/oleObject36.bin"/><Relationship Id="rId144" Type="http://schemas.openxmlformats.org/officeDocument/2006/relationships/image" Target="media/image64.wmf"/><Relationship Id="rId90" Type="http://schemas.openxmlformats.org/officeDocument/2006/relationships/image" Target="media/image37.wmf"/><Relationship Id="rId165" Type="http://schemas.openxmlformats.org/officeDocument/2006/relationships/oleObject" Target="embeddings/oleObject63.bin"/><Relationship Id="rId186" Type="http://schemas.openxmlformats.org/officeDocument/2006/relationships/oleObject" Target="embeddings/oleObject81.bin"/><Relationship Id="rId211" Type="http://schemas.openxmlformats.org/officeDocument/2006/relationships/image" Target="media/image75.wmf"/><Relationship Id="rId232" Type="http://schemas.openxmlformats.org/officeDocument/2006/relationships/image" Target="media/image90.png"/><Relationship Id="rId253" Type="http://schemas.openxmlformats.org/officeDocument/2006/relationships/oleObject" Target="embeddings/oleObject125.bin"/><Relationship Id="rId27" Type="http://schemas.openxmlformats.org/officeDocument/2006/relationships/image" Target="media/image12.wmf"/><Relationship Id="rId48" Type="http://schemas.openxmlformats.org/officeDocument/2006/relationships/hyperlink" Target="https://doi.org/10.3386/w1054" TargetMode="External"/><Relationship Id="rId69" Type="http://schemas.openxmlformats.org/officeDocument/2006/relationships/hyperlink" Target="https://doi.org/10.1177/0959354317713158" TargetMode="External"/><Relationship Id="rId113" Type="http://schemas.openxmlformats.org/officeDocument/2006/relationships/oleObject" Target="embeddings/oleObject31.bin"/><Relationship Id="rId134" Type="http://schemas.openxmlformats.org/officeDocument/2006/relationships/image" Target="media/image59.wmf"/><Relationship Id="rId80" Type="http://schemas.openxmlformats.org/officeDocument/2006/relationships/image" Target="media/image32.wmf"/><Relationship Id="rId155" Type="http://schemas.openxmlformats.org/officeDocument/2006/relationships/image" Target="media/image67.wmf"/><Relationship Id="rId176" Type="http://schemas.openxmlformats.org/officeDocument/2006/relationships/image" Target="media/image70.wmf"/><Relationship Id="rId197" Type="http://schemas.openxmlformats.org/officeDocument/2006/relationships/image" Target="media/image73.wmf"/><Relationship Id="rId201" Type="http://schemas.openxmlformats.org/officeDocument/2006/relationships/oleObject" Target="embeddings/oleObject94.bin"/><Relationship Id="rId222" Type="http://schemas.openxmlformats.org/officeDocument/2006/relationships/image" Target="media/image80.png"/><Relationship Id="rId243" Type="http://schemas.openxmlformats.org/officeDocument/2006/relationships/oleObject" Target="embeddings/oleObject115.bin"/><Relationship Id="rId17" Type="http://schemas.openxmlformats.org/officeDocument/2006/relationships/image" Target="media/image5.emf"/><Relationship Id="rId38" Type="http://schemas.openxmlformats.org/officeDocument/2006/relationships/image" Target="media/image18.png"/><Relationship Id="rId59" Type="http://schemas.openxmlformats.org/officeDocument/2006/relationships/hyperlink" Target="https://ideas.repec.org/a/cup/jechis/v53y1993i03p549-574_01.html" TargetMode="External"/><Relationship Id="rId103" Type="http://schemas.openxmlformats.org/officeDocument/2006/relationships/oleObject" Target="embeddings/oleObject26.bin"/><Relationship Id="rId124" Type="http://schemas.openxmlformats.org/officeDocument/2006/relationships/image" Target="media/image54.wmf"/><Relationship Id="rId70" Type="http://schemas.openxmlformats.org/officeDocument/2006/relationships/hyperlink" Target="https://doi.org/10.1257/jep.4.2.67" TargetMode="External"/><Relationship Id="rId91" Type="http://schemas.openxmlformats.org/officeDocument/2006/relationships/oleObject" Target="embeddings/oleObject20.bin"/><Relationship Id="rId145" Type="http://schemas.openxmlformats.org/officeDocument/2006/relationships/oleObject" Target="embeddings/oleObject47.bin"/><Relationship Id="rId166" Type="http://schemas.openxmlformats.org/officeDocument/2006/relationships/oleObject" Target="embeddings/oleObject64.bin"/><Relationship Id="rId187" Type="http://schemas.openxmlformats.org/officeDocument/2006/relationships/oleObject" Target="embeddings/oleObject82.bin"/><Relationship Id="rId1" Type="http://schemas.openxmlformats.org/officeDocument/2006/relationships/customXml" Target="../customXml/item1.xml"/><Relationship Id="rId212" Type="http://schemas.openxmlformats.org/officeDocument/2006/relationships/oleObject" Target="embeddings/oleObject103.bin"/><Relationship Id="rId233" Type="http://schemas.openxmlformats.org/officeDocument/2006/relationships/image" Target="media/image91.png"/><Relationship Id="rId254" Type="http://schemas.openxmlformats.org/officeDocument/2006/relationships/hyperlink" Target="https://authorservices.wiley.com/author-resources/Journal-Authors/Promotion/index.html" TargetMode="External"/><Relationship Id="rId28" Type="http://schemas.openxmlformats.org/officeDocument/2006/relationships/oleObject" Target="embeddings/oleObject8.bin"/><Relationship Id="rId49" Type="http://schemas.openxmlformats.org/officeDocument/2006/relationships/hyperlink" Target="https://doi.org/10.1017/s0033291700030555" TargetMode="External"/><Relationship Id="rId114" Type="http://schemas.openxmlformats.org/officeDocument/2006/relationships/image" Target="media/image49.wmf"/><Relationship Id="rId60" Type="http://schemas.openxmlformats.org/officeDocument/2006/relationships/hyperlink" Target="https://ideas.repec.org/s/cup/jechis.html" TargetMode="External"/><Relationship Id="rId81" Type="http://schemas.openxmlformats.org/officeDocument/2006/relationships/oleObject" Target="embeddings/oleObject15.bin"/><Relationship Id="rId135" Type="http://schemas.openxmlformats.org/officeDocument/2006/relationships/oleObject" Target="embeddings/oleObject42.bin"/><Relationship Id="rId156" Type="http://schemas.openxmlformats.org/officeDocument/2006/relationships/oleObject" Target="embeddings/oleObject55.bin"/><Relationship Id="rId177" Type="http://schemas.openxmlformats.org/officeDocument/2006/relationships/oleObject" Target="embeddings/oleObject73.bin"/><Relationship Id="rId198" Type="http://schemas.openxmlformats.org/officeDocument/2006/relationships/oleObject" Target="embeddings/oleObject91.bin"/><Relationship Id="rId202" Type="http://schemas.openxmlformats.org/officeDocument/2006/relationships/oleObject" Target="embeddings/oleObject95.bin"/><Relationship Id="rId223" Type="http://schemas.openxmlformats.org/officeDocument/2006/relationships/image" Target="media/image81.png"/><Relationship Id="rId244" Type="http://schemas.openxmlformats.org/officeDocument/2006/relationships/oleObject" Target="embeddings/oleObject116.bin"/><Relationship Id="rId18" Type="http://schemas.openxmlformats.org/officeDocument/2006/relationships/image" Target="media/image6.png"/><Relationship Id="rId39" Type="http://schemas.openxmlformats.org/officeDocument/2006/relationships/image" Target="media/image19.png"/><Relationship Id="rId50" Type="http://schemas.openxmlformats.org/officeDocument/2006/relationships/hyperlink" Target="https://doi.org/10.1111/j.1475-4932.2012.00809.x" TargetMode="External"/><Relationship Id="rId104" Type="http://schemas.openxmlformats.org/officeDocument/2006/relationships/image" Target="media/image44.wmf"/><Relationship Id="rId125" Type="http://schemas.openxmlformats.org/officeDocument/2006/relationships/oleObject" Target="embeddings/oleObject37.bin"/><Relationship Id="rId146" Type="http://schemas.openxmlformats.org/officeDocument/2006/relationships/image" Target="media/image65.wmf"/><Relationship Id="rId167" Type="http://schemas.openxmlformats.org/officeDocument/2006/relationships/oleObject" Target="embeddings/oleObject65.bin"/><Relationship Id="rId188" Type="http://schemas.openxmlformats.org/officeDocument/2006/relationships/oleObject" Target="embeddings/oleObject83.bin"/><Relationship Id="rId71" Type="http://schemas.openxmlformats.org/officeDocument/2006/relationships/image" Target="media/image25.png"/><Relationship Id="rId92" Type="http://schemas.openxmlformats.org/officeDocument/2006/relationships/image" Target="media/image38.wmf"/><Relationship Id="rId213" Type="http://schemas.openxmlformats.org/officeDocument/2006/relationships/oleObject" Target="embeddings/oleObject104.bin"/><Relationship Id="rId234" Type="http://schemas.openxmlformats.org/officeDocument/2006/relationships/image" Target="media/image92.png"/><Relationship Id="rId2" Type="http://schemas.openxmlformats.org/officeDocument/2006/relationships/customXml" Target="../customXml/item2.xml"/><Relationship Id="rId29" Type="http://schemas.openxmlformats.org/officeDocument/2006/relationships/image" Target="media/image13.wmf"/><Relationship Id="rId255" Type="http://schemas.openxmlformats.org/officeDocument/2006/relationships/hyperlink" Target="mailto:j.turner@qub.ac.uk" TargetMode="External"/><Relationship Id="rId40" Type="http://schemas.openxmlformats.org/officeDocument/2006/relationships/image" Target="media/image20.png"/><Relationship Id="rId115" Type="http://schemas.openxmlformats.org/officeDocument/2006/relationships/oleObject" Target="embeddings/oleObject32.bin"/><Relationship Id="rId136" Type="http://schemas.openxmlformats.org/officeDocument/2006/relationships/image" Target="media/image60.wmf"/><Relationship Id="rId157" Type="http://schemas.openxmlformats.org/officeDocument/2006/relationships/oleObject" Target="embeddings/oleObject56.bin"/><Relationship Id="rId178" Type="http://schemas.openxmlformats.org/officeDocument/2006/relationships/oleObject" Target="embeddings/oleObject74.bin"/><Relationship Id="rId61" Type="http://schemas.openxmlformats.org/officeDocument/2006/relationships/hyperlink" Target="https://doi.org/10.1017/s0022050700013486" TargetMode="External"/><Relationship Id="rId82" Type="http://schemas.openxmlformats.org/officeDocument/2006/relationships/image" Target="media/image33.wmf"/><Relationship Id="rId199" Type="http://schemas.openxmlformats.org/officeDocument/2006/relationships/oleObject" Target="embeddings/oleObject92.bin"/><Relationship Id="rId203" Type="http://schemas.openxmlformats.org/officeDocument/2006/relationships/oleObject" Target="embeddings/oleObject96.bin"/><Relationship Id="rId19" Type="http://schemas.openxmlformats.org/officeDocument/2006/relationships/image" Target="media/image7.png"/><Relationship Id="rId224" Type="http://schemas.openxmlformats.org/officeDocument/2006/relationships/image" Target="media/image82.png"/><Relationship Id="rId245" Type="http://schemas.openxmlformats.org/officeDocument/2006/relationships/oleObject" Target="embeddings/oleObject117.bin"/><Relationship Id="rId30" Type="http://schemas.openxmlformats.org/officeDocument/2006/relationships/oleObject" Target="embeddings/oleObject9.bin"/><Relationship Id="rId105" Type="http://schemas.openxmlformats.org/officeDocument/2006/relationships/oleObject" Target="embeddings/oleObject27.bin"/><Relationship Id="rId126" Type="http://schemas.openxmlformats.org/officeDocument/2006/relationships/image" Target="media/image55.wmf"/><Relationship Id="rId147" Type="http://schemas.openxmlformats.org/officeDocument/2006/relationships/oleObject" Target="embeddings/oleObject48.bin"/><Relationship Id="rId168" Type="http://schemas.openxmlformats.org/officeDocument/2006/relationships/oleObject" Target="embeddings/oleObject66.bin"/><Relationship Id="rId51" Type="http://schemas.openxmlformats.org/officeDocument/2006/relationships/hyperlink" Target="https://doi.org/10.26439/persona2000.n003.1708" TargetMode="External"/><Relationship Id="rId72" Type="http://schemas.openxmlformats.org/officeDocument/2006/relationships/image" Target="media/image26.png"/><Relationship Id="rId93" Type="http://schemas.openxmlformats.org/officeDocument/2006/relationships/oleObject" Target="embeddings/oleObject21.bin"/><Relationship Id="rId189" Type="http://schemas.openxmlformats.org/officeDocument/2006/relationships/oleObject" Target="embeddings/oleObject84.bin"/><Relationship Id="rId3" Type="http://schemas.openxmlformats.org/officeDocument/2006/relationships/numbering" Target="numbering.xml"/><Relationship Id="rId214" Type="http://schemas.openxmlformats.org/officeDocument/2006/relationships/oleObject" Target="embeddings/oleObject105.bin"/><Relationship Id="rId235" Type="http://schemas.openxmlformats.org/officeDocument/2006/relationships/image" Target="media/image93.png"/><Relationship Id="rId256" Type="http://schemas.openxmlformats.org/officeDocument/2006/relationships/hyperlink" Target="http://wileyonlinelibrary.com/onlineopen" TargetMode="External"/><Relationship Id="rId116" Type="http://schemas.openxmlformats.org/officeDocument/2006/relationships/image" Target="media/image50.wmf"/><Relationship Id="rId137" Type="http://schemas.openxmlformats.org/officeDocument/2006/relationships/oleObject" Target="embeddings/oleObject43.bin"/><Relationship Id="rId158" Type="http://schemas.openxmlformats.org/officeDocument/2006/relationships/oleObject" Target="embeddings/oleObject57.bin"/><Relationship Id="rId20" Type="http://schemas.openxmlformats.org/officeDocument/2006/relationships/image" Target="media/image8.wmf"/><Relationship Id="rId41" Type="http://schemas.openxmlformats.org/officeDocument/2006/relationships/image" Target="media/image21.png"/><Relationship Id="rId62" Type="http://schemas.openxmlformats.org/officeDocument/2006/relationships/hyperlink" Target="https://doi.org/10.1257/aer.100.3.763" TargetMode="External"/><Relationship Id="rId83" Type="http://schemas.openxmlformats.org/officeDocument/2006/relationships/oleObject" Target="embeddings/oleObject16.bin"/><Relationship Id="rId179" Type="http://schemas.openxmlformats.org/officeDocument/2006/relationships/oleObject" Target="embeddings/oleObject75.bin"/><Relationship Id="rId190" Type="http://schemas.openxmlformats.org/officeDocument/2006/relationships/image" Target="media/image72.wmf"/><Relationship Id="rId204" Type="http://schemas.openxmlformats.org/officeDocument/2006/relationships/image" Target="media/image74.wmf"/><Relationship Id="rId225" Type="http://schemas.openxmlformats.org/officeDocument/2006/relationships/image" Target="media/image83.png"/><Relationship Id="rId246" Type="http://schemas.openxmlformats.org/officeDocument/2006/relationships/oleObject" Target="embeddings/oleObject118.bin"/><Relationship Id="rId106" Type="http://schemas.openxmlformats.org/officeDocument/2006/relationships/image" Target="media/image45.wmf"/><Relationship Id="rId127" Type="http://schemas.openxmlformats.org/officeDocument/2006/relationships/oleObject" Target="embeddings/oleObject38.bin"/><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hyperlink" Target="https://doi.org/10.1017/s0022050700039619" TargetMode="External"/><Relationship Id="rId73" Type="http://schemas.openxmlformats.org/officeDocument/2006/relationships/image" Target="media/image27.png"/><Relationship Id="rId94" Type="http://schemas.openxmlformats.org/officeDocument/2006/relationships/image" Target="media/image39.wmf"/><Relationship Id="rId148" Type="http://schemas.openxmlformats.org/officeDocument/2006/relationships/image" Target="media/image66.wmf"/><Relationship Id="rId169" Type="http://schemas.openxmlformats.org/officeDocument/2006/relationships/image" Target="media/image69.wmf"/><Relationship Id="rId4" Type="http://schemas.openxmlformats.org/officeDocument/2006/relationships/styles" Target="styles.xml"/><Relationship Id="rId180" Type="http://schemas.openxmlformats.org/officeDocument/2006/relationships/oleObject" Target="embeddings/oleObject76.bin"/><Relationship Id="rId215" Type="http://schemas.openxmlformats.org/officeDocument/2006/relationships/oleObject" Target="embeddings/oleObject106.bin"/><Relationship Id="rId236" Type="http://schemas.openxmlformats.org/officeDocument/2006/relationships/image" Target="media/image94.png"/><Relationship Id="rId257" Type="http://schemas.openxmlformats.org/officeDocument/2006/relationships/hyperlink" Target="https://authorservices.wiley.com/bauthor/onlineopen_order.asp" TargetMode="External"/><Relationship Id="rId42" Type="http://schemas.openxmlformats.org/officeDocument/2006/relationships/image" Target="media/image22.png"/><Relationship Id="rId84" Type="http://schemas.openxmlformats.org/officeDocument/2006/relationships/image" Target="media/image34.wmf"/><Relationship Id="rId138" Type="http://schemas.openxmlformats.org/officeDocument/2006/relationships/image" Target="media/image61.wmf"/></Relationships>
</file>

<file path=word/_rels/footnotes.xml.rels><?xml version="1.0" encoding="UTF-8" standalone="yes"?>
<Relationships xmlns="http://schemas.openxmlformats.org/package/2006/relationships"><Relationship Id="rId1" Type="http://schemas.openxmlformats.org/officeDocument/2006/relationships/hyperlink" Target="mailto:d.tuckett@uc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IdKeyPP36ENTgqB/b2qdN8Yiiw==">AMUW2mXh7gZtkJoL3Az5hSpS2+7SgqMxKhVsZ5pKGvkh2bzYm15USHF8DNnpRAqNt9jEySprh8svI5sqqXtFm4r9gwlaTzsF5FI21bqplrMD/V5qzN4zonyl/RiRJjhMH9b/qKmZBJ0ibWFR75KaiY2uDgRh46NX0nOQ1gLQSr5DXXbLDQPvExLzIctHzT1oBZJwBZ7Y1mL/iAdMCa04hd6VxJE84ECXWLVnXJPcUrwfeK2DOAg966RtkP7FAUkRmDa/k1gFfUHZcXkvPOQbObBUTyaNz7Wure+tTy8fr+SwfFuDdVRRF1Y8h2Tw5xE++iJkk+O/WoAnRGYJVtcm+U0v7GNIzup1Z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9559A8-351B-4A11-AC1F-2D10AF736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16752</Words>
  <Characters>95489</Characters>
  <Application>Microsoft Office Word</Application>
  <DocSecurity>0</DocSecurity>
  <Lines>795</Lines>
  <Paragraphs>224</Paragraphs>
  <ScaleCrop>false</ScaleCrop>
  <HeadingPairs>
    <vt:vector size="2" baseType="variant">
      <vt:variant>
        <vt:lpstr>Title</vt:lpstr>
      </vt:variant>
      <vt:variant>
        <vt:i4>1</vt:i4>
      </vt:variant>
    </vt:vector>
  </HeadingPairs>
  <TitlesOfParts>
    <vt:vector size="1" baseType="lpstr">
      <vt:lpstr/>
    </vt:vector>
  </TitlesOfParts>
  <Company>Rutgers University</Company>
  <LinksUpToDate>false</LinksUpToDate>
  <CharactersWithSpaces>112017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Landon Lane</dc:creator>
  <cp:lastModifiedBy>Ali Kabiri</cp:lastModifiedBy>
  <cp:revision>2</cp:revision>
  <dcterms:created xsi:type="dcterms:W3CDTF">2022-02-23T10:33:00Z</dcterms:created>
  <dcterms:modified xsi:type="dcterms:W3CDTF">2022-02-23T10:33:00Z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UseMTPrefs">
    <vt:lpwstr>1</vt:lpwstr>
  </property>
  <property fmtid="{D5CDD505-2E9C-101B-9397-08002B2CF9AE}" pid="5" name="MTEquationNumber2">
    <vt:lpwstr>[#E1]</vt:lpwstr>
  </property>
</Properties>
</file>