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73" w:rsidRPr="002B52BC" w:rsidRDefault="005834C0" w:rsidP="00AD7FE6">
      <w:pPr>
        <w:jc w:val="both"/>
        <w:rPr>
          <w:rFonts w:ascii="Times New Roman" w:hAnsi="Times New Roman"/>
          <w:b/>
          <w:i/>
          <w:sz w:val="24"/>
          <w:szCs w:val="24"/>
        </w:rPr>
      </w:pPr>
      <w:bookmarkStart w:id="0" w:name="_GoBack"/>
      <w:bookmarkEnd w:id="0"/>
      <w:r w:rsidRPr="002B52BC">
        <w:rPr>
          <w:rFonts w:ascii="Times New Roman" w:hAnsi="Times New Roman"/>
          <w:b/>
          <w:sz w:val="24"/>
          <w:szCs w:val="24"/>
        </w:rPr>
        <w:t xml:space="preserve">Bank Distress and </w:t>
      </w:r>
      <w:r w:rsidR="00976934">
        <w:rPr>
          <w:rFonts w:ascii="Times New Roman" w:hAnsi="Times New Roman"/>
          <w:b/>
          <w:sz w:val="24"/>
          <w:szCs w:val="24"/>
        </w:rPr>
        <w:t>Firms’ Investment</w:t>
      </w:r>
      <w:r w:rsidR="001959A7" w:rsidRPr="002B52BC">
        <w:rPr>
          <w:rFonts w:ascii="Times New Roman" w:hAnsi="Times New Roman"/>
          <w:b/>
          <w:sz w:val="24"/>
          <w:szCs w:val="24"/>
        </w:rPr>
        <w:t xml:space="preserve"> </w:t>
      </w:r>
      <w:r w:rsidR="0012792C" w:rsidRPr="002B52BC">
        <w:rPr>
          <w:rFonts w:ascii="Times New Roman" w:hAnsi="Times New Roman"/>
          <w:b/>
          <w:sz w:val="24"/>
          <w:szCs w:val="24"/>
        </w:rPr>
        <w:t xml:space="preserve">during the Great Recession </w:t>
      </w:r>
      <w:r w:rsidR="001959A7" w:rsidRPr="002B52BC">
        <w:rPr>
          <w:rFonts w:ascii="Times New Roman" w:hAnsi="Times New Roman"/>
          <w:b/>
          <w:sz w:val="24"/>
          <w:szCs w:val="24"/>
        </w:rPr>
        <w:t>- Evidence from Ireland</w:t>
      </w:r>
    </w:p>
    <w:p w:rsidR="00885B3F" w:rsidRPr="00885B3F" w:rsidRDefault="00885B3F" w:rsidP="00F36209">
      <w:pPr>
        <w:jc w:val="center"/>
        <w:rPr>
          <w:rFonts w:ascii="Times New Roman" w:hAnsi="Times New Roman"/>
          <w:sz w:val="24"/>
          <w:szCs w:val="24"/>
        </w:rPr>
      </w:pPr>
    </w:p>
    <w:p w:rsidR="001959A7" w:rsidRDefault="001959A7" w:rsidP="00F36209">
      <w:pPr>
        <w:jc w:val="center"/>
        <w:rPr>
          <w:rFonts w:ascii="Times New Roman" w:hAnsi="Times New Roman"/>
          <w:sz w:val="24"/>
          <w:szCs w:val="24"/>
        </w:rPr>
      </w:pPr>
      <w:r w:rsidRPr="002B52BC">
        <w:rPr>
          <w:rFonts w:ascii="Times New Roman" w:hAnsi="Times New Roman"/>
          <w:sz w:val="24"/>
          <w:szCs w:val="24"/>
        </w:rPr>
        <w:t>By</w:t>
      </w:r>
    </w:p>
    <w:p w:rsidR="00885B3F" w:rsidRDefault="00885B3F" w:rsidP="00F36209">
      <w:pPr>
        <w:jc w:val="center"/>
        <w:rPr>
          <w:rFonts w:ascii="Times New Roman" w:hAnsi="Times New Roman"/>
          <w:sz w:val="24"/>
          <w:szCs w:val="24"/>
        </w:rPr>
      </w:pPr>
    </w:p>
    <w:p w:rsidR="00885B3F" w:rsidRPr="006C07ED" w:rsidRDefault="00885B3F" w:rsidP="006C07ED">
      <w:pPr>
        <w:spacing w:after="0" w:line="240" w:lineRule="auto"/>
        <w:jc w:val="center"/>
        <w:rPr>
          <w:rFonts w:ascii="Times New Roman" w:hAnsi="Times New Roman"/>
          <w:b/>
          <w:sz w:val="24"/>
          <w:szCs w:val="24"/>
        </w:rPr>
      </w:pPr>
      <w:r w:rsidRPr="006C07ED">
        <w:rPr>
          <w:rFonts w:ascii="Times New Roman" w:hAnsi="Times New Roman"/>
          <w:b/>
          <w:sz w:val="24"/>
          <w:szCs w:val="24"/>
        </w:rPr>
        <w:t>Mariana Spatareanu</w:t>
      </w:r>
    </w:p>
    <w:p w:rsidR="006C07ED" w:rsidRDefault="006C07ED" w:rsidP="006C07ED">
      <w:pPr>
        <w:spacing w:after="0" w:line="240" w:lineRule="auto"/>
        <w:jc w:val="center"/>
      </w:pPr>
      <w:r>
        <w:t xml:space="preserve">Rutgers University </w:t>
      </w:r>
    </w:p>
    <w:p w:rsidR="006C07ED" w:rsidRDefault="006C07ED" w:rsidP="006C07ED">
      <w:pPr>
        <w:spacing w:after="0" w:line="240" w:lineRule="auto"/>
        <w:jc w:val="center"/>
      </w:pPr>
      <w:r>
        <w:t xml:space="preserve">E-mail: </w:t>
      </w:r>
      <w:hyperlink r:id="rId8" w:history="1">
        <w:r w:rsidRPr="005C607E">
          <w:rPr>
            <w:rStyle w:val="Hyperlink"/>
          </w:rPr>
          <w:t>marianas@andromeda.rutgers.edu</w:t>
        </w:r>
      </w:hyperlink>
    </w:p>
    <w:p w:rsidR="006C07ED" w:rsidRPr="002B52BC" w:rsidRDefault="006C07ED" w:rsidP="00885B3F">
      <w:pPr>
        <w:jc w:val="center"/>
        <w:rPr>
          <w:rFonts w:ascii="Times New Roman" w:hAnsi="Times New Roman"/>
          <w:i/>
          <w:sz w:val="24"/>
          <w:szCs w:val="24"/>
        </w:rPr>
      </w:pPr>
    </w:p>
    <w:p w:rsidR="00885B3F" w:rsidRPr="006C07ED" w:rsidRDefault="00885B3F" w:rsidP="006C07ED">
      <w:pPr>
        <w:spacing w:after="0" w:line="240" w:lineRule="auto"/>
        <w:jc w:val="center"/>
        <w:rPr>
          <w:rFonts w:ascii="Times New Roman" w:hAnsi="Times New Roman"/>
          <w:b/>
          <w:sz w:val="24"/>
          <w:szCs w:val="24"/>
        </w:rPr>
      </w:pPr>
      <w:r w:rsidRPr="006C07ED">
        <w:rPr>
          <w:rFonts w:ascii="Times New Roman" w:hAnsi="Times New Roman"/>
          <w:b/>
          <w:sz w:val="24"/>
          <w:szCs w:val="24"/>
        </w:rPr>
        <w:t>Vlad Manole</w:t>
      </w:r>
    </w:p>
    <w:p w:rsidR="006C07ED" w:rsidRDefault="006C07ED" w:rsidP="006C07ED">
      <w:pPr>
        <w:spacing w:after="0" w:line="240" w:lineRule="auto"/>
        <w:jc w:val="center"/>
      </w:pPr>
      <w:r>
        <w:t xml:space="preserve">Rutgers University </w:t>
      </w:r>
    </w:p>
    <w:p w:rsidR="006C07ED" w:rsidRDefault="006C07ED" w:rsidP="006C07ED">
      <w:pPr>
        <w:spacing w:after="0" w:line="240" w:lineRule="auto"/>
        <w:jc w:val="center"/>
      </w:pPr>
      <w:r>
        <w:t xml:space="preserve">E-mail: </w:t>
      </w:r>
      <w:hyperlink r:id="rId9" w:history="1">
        <w:r w:rsidR="00DC25EF" w:rsidRPr="00FC7E26">
          <w:rPr>
            <w:rStyle w:val="Hyperlink"/>
          </w:rPr>
          <w:t>vlad.manole@rutgers.edu</w:t>
        </w:r>
      </w:hyperlink>
    </w:p>
    <w:p w:rsidR="006C07ED" w:rsidRPr="00467987" w:rsidRDefault="006C07ED" w:rsidP="00885B3F">
      <w:pPr>
        <w:jc w:val="center"/>
        <w:rPr>
          <w:rFonts w:ascii="Times New Roman" w:hAnsi="Times New Roman"/>
          <w:sz w:val="24"/>
          <w:szCs w:val="24"/>
        </w:rPr>
      </w:pPr>
    </w:p>
    <w:p w:rsidR="004929B9" w:rsidRDefault="004929B9" w:rsidP="006C07ED">
      <w:pPr>
        <w:spacing w:after="0" w:line="240" w:lineRule="auto"/>
        <w:jc w:val="center"/>
        <w:rPr>
          <w:rFonts w:ascii="Times New Roman" w:hAnsi="Times New Roman"/>
          <w:b/>
        </w:rPr>
      </w:pPr>
      <w:r w:rsidRPr="006C07ED">
        <w:rPr>
          <w:rFonts w:ascii="Times New Roman" w:hAnsi="Times New Roman"/>
          <w:b/>
        </w:rPr>
        <w:t>Ali Kabiri</w:t>
      </w:r>
    </w:p>
    <w:p w:rsidR="000E0479" w:rsidRPr="002B52BC" w:rsidRDefault="00AB1D74" w:rsidP="000E0479">
      <w:pPr>
        <w:spacing w:after="0" w:line="240" w:lineRule="auto"/>
        <w:jc w:val="center"/>
        <w:rPr>
          <w:rFonts w:ascii="Times New Roman" w:hAnsi="Times New Roman"/>
          <w:i/>
          <w:sz w:val="24"/>
          <w:szCs w:val="24"/>
        </w:rPr>
      </w:pPr>
      <w:r>
        <w:rPr>
          <w:rFonts w:ascii="Times New Roman" w:hAnsi="Times New Roman"/>
          <w:sz w:val="24"/>
          <w:szCs w:val="24"/>
        </w:rPr>
        <w:t xml:space="preserve">  </w:t>
      </w:r>
      <w:r w:rsidR="000E0479" w:rsidRPr="006C07ED">
        <w:rPr>
          <w:rFonts w:ascii="Times New Roman" w:hAnsi="Times New Roman"/>
          <w:sz w:val="24"/>
          <w:szCs w:val="24"/>
        </w:rPr>
        <w:t xml:space="preserve">University of Buckingham </w:t>
      </w:r>
    </w:p>
    <w:p w:rsidR="006C07ED" w:rsidRDefault="006C07ED" w:rsidP="006C07ED">
      <w:pPr>
        <w:spacing w:after="0" w:line="240" w:lineRule="auto"/>
        <w:jc w:val="center"/>
        <w:rPr>
          <w:rFonts w:ascii="Times New Roman" w:hAnsi="Times New Roman"/>
          <w:sz w:val="24"/>
          <w:szCs w:val="24"/>
        </w:rPr>
      </w:pPr>
      <w:r w:rsidRPr="006C07ED">
        <w:rPr>
          <w:rFonts w:ascii="Times New Roman" w:hAnsi="Times New Roman"/>
          <w:sz w:val="24"/>
          <w:szCs w:val="24"/>
        </w:rPr>
        <w:t xml:space="preserve">Email: </w:t>
      </w:r>
      <w:hyperlink r:id="rId10" w:history="1">
        <w:r w:rsidRPr="005C607E">
          <w:rPr>
            <w:rStyle w:val="Hyperlink"/>
            <w:rFonts w:ascii="Times New Roman" w:hAnsi="Times New Roman"/>
            <w:sz w:val="24"/>
            <w:szCs w:val="24"/>
          </w:rPr>
          <w:t>ali.kabiri@buckingham.ac.uk</w:t>
        </w:r>
      </w:hyperlink>
    </w:p>
    <w:p w:rsidR="00361F13" w:rsidRPr="002B52BC" w:rsidRDefault="00361F13" w:rsidP="00F36209">
      <w:pPr>
        <w:jc w:val="center"/>
        <w:rPr>
          <w:rFonts w:ascii="Times New Roman" w:hAnsi="Times New Roman"/>
          <w:i/>
          <w:sz w:val="24"/>
          <w:szCs w:val="24"/>
        </w:rPr>
      </w:pPr>
    </w:p>
    <w:p w:rsidR="00C216F4" w:rsidRPr="002B52BC" w:rsidRDefault="005636EB" w:rsidP="005636EB">
      <w:pPr>
        <w:tabs>
          <w:tab w:val="left" w:pos="3360"/>
          <w:tab w:val="center" w:pos="46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959A7" w:rsidRPr="002B52BC" w:rsidRDefault="001959A7" w:rsidP="00AD7FE6">
      <w:pPr>
        <w:jc w:val="both"/>
        <w:rPr>
          <w:rFonts w:ascii="Times New Roman" w:hAnsi="Times New Roman"/>
          <w:i/>
          <w:sz w:val="24"/>
          <w:szCs w:val="24"/>
        </w:rPr>
      </w:pPr>
    </w:p>
    <w:p w:rsidR="001959A7" w:rsidRPr="002B52BC" w:rsidRDefault="001959A7" w:rsidP="00AD7FE6">
      <w:pPr>
        <w:jc w:val="both"/>
        <w:rPr>
          <w:rFonts w:ascii="Times New Roman" w:hAnsi="Times New Roman"/>
          <w:i/>
          <w:sz w:val="24"/>
          <w:szCs w:val="24"/>
        </w:rPr>
      </w:pPr>
    </w:p>
    <w:p w:rsidR="0003288C" w:rsidRPr="002B52BC" w:rsidRDefault="001959A7" w:rsidP="00AD7FE6">
      <w:pPr>
        <w:jc w:val="both"/>
        <w:rPr>
          <w:rFonts w:ascii="Times New Roman" w:hAnsi="Times New Roman"/>
          <w:sz w:val="24"/>
          <w:szCs w:val="24"/>
        </w:rPr>
      </w:pPr>
      <w:r w:rsidRPr="002B52BC">
        <w:rPr>
          <w:rFonts w:ascii="Times New Roman" w:hAnsi="Times New Roman"/>
          <w:b/>
          <w:sz w:val="24"/>
          <w:szCs w:val="24"/>
        </w:rPr>
        <w:t>Abstract:</w:t>
      </w:r>
      <w:r w:rsidR="00842800" w:rsidRPr="002B52BC">
        <w:rPr>
          <w:rFonts w:ascii="Times New Roman" w:hAnsi="Times New Roman"/>
          <w:sz w:val="24"/>
          <w:szCs w:val="24"/>
        </w:rPr>
        <w:t xml:space="preserve"> T</w:t>
      </w:r>
      <w:r w:rsidR="00D773EC" w:rsidRPr="002B52BC">
        <w:rPr>
          <w:rFonts w:ascii="Times New Roman" w:hAnsi="Times New Roman"/>
          <w:sz w:val="24"/>
          <w:szCs w:val="24"/>
        </w:rPr>
        <w:t>his paper investigates the impact of bank distress on firm</w:t>
      </w:r>
      <w:r w:rsidR="00842800" w:rsidRPr="002B52BC">
        <w:rPr>
          <w:rFonts w:ascii="Times New Roman" w:hAnsi="Times New Roman"/>
          <w:sz w:val="24"/>
          <w:szCs w:val="24"/>
        </w:rPr>
        <w:t>s’</w:t>
      </w:r>
      <w:r w:rsidR="00D773EC" w:rsidRPr="002B52BC">
        <w:rPr>
          <w:rFonts w:ascii="Times New Roman" w:hAnsi="Times New Roman"/>
          <w:sz w:val="24"/>
          <w:szCs w:val="24"/>
        </w:rPr>
        <w:t xml:space="preserve"> performance using </w:t>
      </w:r>
      <w:r w:rsidR="0003288C" w:rsidRPr="002B52BC">
        <w:rPr>
          <w:rFonts w:ascii="Times New Roman" w:hAnsi="Times New Roman"/>
          <w:sz w:val="24"/>
          <w:szCs w:val="24"/>
        </w:rPr>
        <w:t xml:space="preserve">unique </w:t>
      </w:r>
      <w:r w:rsidR="00D773EC" w:rsidRPr="002B52BC">
        <w:rPr>
          <w:rFonts w:ascii="Times New Roman" w:hAnsi="Times New Roman"/>
          <w:sz w:val="24"/>
          <w:szCs w:val="24"/>
        </w:rPr>
        <w:t>data during the Great Recession for Ireland. The results show that bank distress</w:t>
      </w:r>
      <w:r w:rsidR="00361F13" w:rsidRPr="002B52BC">
        <w:rPr>
          <w:rFonts w:ascii="Times New Roman" w:hAnsi="Times New Roman"/>
          <w:sz w:val="24"/>
          <w:szCs w:val="24"/>
        </w:rPr>
        <w:t>, measured as banks’ credit default swap</w:t>
      </w:r>
      <w:r w:rsidR="0012542E">
        <w:rPr>
          <w:rFonts w:ascii="Times New Roman" w:hAnsi="Times New Roman"/>
          <w:sz w:val="24"/>
          <w:szCs w:val="24"/>
        </w:rPr>
        <w:t xml:space="preserve"> spreads</w:t>
      </w:r>
      <w:r w:rsidR="0099379F">
        <w:rPr>
          <w:rFonts w:ascii="Times New Roman" w:hAnsi="Times New Roman"/>
          <w:sz w:val="24"/>
          <w:szCs w:val="24"/>
        </w:rPr>
        <w:t xml:space="preserve"> (CDS)</w:t>
      </w:r>
      <w:r w:rsidR="00361F13" w:rsidRPr="002B52BC">
        <w:rPr>
          <w:rFonts w:ascii="Times New Roman" w:hAnsi="Times New Roman"/>
          <w:sz w:val="24"/>
          <w:szCs w:val="24"/>
        </w:rPr>
        <w:t>,</w:t>
      </w:r>
      <w:r w:rsidR="00D773EC" w:rsidRPr="002B52BC">
        <w:rPr>
          <w:rFonts w:ascii="Times New Roman" w:hAnsi="Times New Roman"/>
          <w:sz w:val="24"/>
          <w:szCs w:val="24"/>
        </w:rPr>
        <w:t xml:space="preserve"> has negatively and statistically significantly affected firms’</w:t>
      </w:r>
      <w:r w:rsidR="00EF26AC" w:rsidRPr="002B52BC">
        <w:rPr>
          <w:rFonts w:ascii="Times New Roman" w:hAnsi="Times New Roman"/>
          <w:sz w:val="24"/>
          <w:szCs w:val="24"/>
        </w:rPr>
        <w:t xml:space="preserve"> investment expenditures</w:t>
      </w:r>
      <w:r w:rsidR="00D773EC" w:rsidRPr="002B52BC">
        <w:rPr>
          <w:rFonts w:ascii="Times New Roman" w:hAnsi="Times New Roman"/>
          <w:sz w:val="24"/>
          <w:szCs w:val="24"/>
        </w:rPr>
        <w:t xml:space="preserve">. </w:t>
      </w:r>
      <w:r w:rsidR="0099379F">
        <w:rPr>
          <w:rFonts w:ascii="Times New Roman" w:hAnsi="Times New Roman"/>
          <w:sz w:val="24"/>
          <w:szCs w:val="24"/>
        </w:rPr>
        <w:t xml:space="preserve">Interestingly, firms with access to alternative sources of external finance </w:t>
      </w:r>
      <w:r w:rsidR="0086376E">
        <w:rPr>
          <w:rFonts w:ascii="Times New Roman" w:hAnsi="Times New Roman"/>
          <w:sz w:val="24"/>
          <w:szCs w:val="24"/>
        </w:rPr>
        <w:t>are not impacted by bank distress</w:t>
      </w:r>
      <w:r w:rsidR="0099379F">
        <w:rPr>
          <w:rFonts w:ascii="Times New Roman" w:hAnsi="Times New Roman"/>
          <w:sz w:val="24"/>
          <w:szCs w:val="24"/>
        </w:rPr>
        <w:t>.</w:t>
      </w:r>
      <w:r w:rsidR="00D773EC" w:rsidRPr="002B52BC">
        <w:rPr>
          <w:rFonts w:ascii="Times New Roman" w:hAnsi="Times New Roman"/>
          <w:sz w:val="24"/>
          <w:szCs w:val="24"/>
        </w:rPr>
        <w:t xml:space="preserve"> The results are robust to accounting for </w:t>
      </w:r>
      <w:r w:rsidR="0003288C" w:rsidRPr="002B52BC">
        <w:rPr>
          <w:rFonts w:ascii="Times New Roman" w:hAnsi="Times New Roman"/>
          <w:sz w:val="24"/>
          <w:szCs w:val="24"/>
        </w:rPr>
        <w:t xml:space="preserve">external finance dependence, demand and trade sensitivities, which affect firm performance and the demand for credit. </w:t>
      </w:r>
    </w:p>
    <w:p w:rsidR="001959A7" w:rsidRPr="002B52BC" w:rsidRDefault="001959A7" w:rsidP="00AD7FE6">
      <w:pPr>
        <w:jc w:val="both"/>
        <w:rPr>
          <w:rFonts w:ascii="Times New Roman" w:hAnsi="Times New Roman"/>
          <w:i/>
          <w:sz w:val="24"/>
          <w:szCs w:val="24"/>
        </w:rPr>
      </w:pPr>
    </w:p>
    <w:p w:rsidR="00361F13" w:rsidRPr="002B52BC" w:rsidRDefault="00361F13" w:rsidP="00AD7FE6">
      <w:pPr>
        <w:jc w:val="both"/>
        <w:rPr>
          <w:rFonts w:ascii="Times New Roman" w:hAnsi="Times New Roman"/>
          <w:i/>
          <w:sz w:val="24"/>
          <w:szCs w:val="24"/>
        </w:rPr>
      </w:pPr>
    </w:p>
    <w:p w:rsidR="001959A7" w:rsidRPr="009A32BE" w:rsidRDefault="00C216F4" w:rsidP="00AD7FE6">
      <w:pPr>
        <w:jc w:val="both"/>
        <w:rPr>
          <w:rFonts w:ascii="Times New Roman" w:hAnsi="Times New Roman"/>
          <w:i/>
          <w:sz w:val="24"/>
          <w:szCs w:val="24"/>
        </w:rPr>
      </w:pPr>
      <w:r w:rsidRPr="002B52BC">
        <w:rPr>
          <w:rFonts w:ascii="Times New Roman" w:hAnsi="Times New Roman"/>
          <w:sz w:val="24"/>
          <w:szCs w:val="24"/>
        </w:rPr>
        <w:t xml:space="preserve">Keywords: </w:t>
      </w:r>
      <w:r w:rsidRPr="009A32BE">
        <w:rPr>
          <w:rFonts w:ascii="Times New Roman" w:hAnsi="Times New Roman"/>
          <w:i/>
          <w:sz w:val="24"/>
          <w:szCs w:val="24"/>
        </w:rPr>
        <w:t>firm</w:t>
      </w:r>
      <w:r w:rsidR="001959A7" w:rsidRPr="009A32BE">
        <w:rPr>
          <w:rFonts w:ascii="Times New Roman" w:hAnsi="Times New Roman"/>
          <w:i/>
          <w:sz w:val="24"/>
          <w:szCs w:val="24"/>
        </w:rPr>
        <w:t xml:space="preserve"> performance, bank distress, crisis</w:t>
      </w:r>
    </w:p>
    <w:p w:rsidR="001959A7" w:rsidRPr="002B52BC" w:rsidRDefault="001959A7" w:rsidP="00AD7FE6">
      <w:pPr>
        <w:jc w:val="both"/>
        <w:rPr>
          <w:rFonts w:ascii="Times New Roman" w:hAnsi="Times New Roman"/>
          <w:i/>
          <w:sz w:val="24"/>
          <w:szCs w:val="24"/>
        </w:rPr>
      </w:pPr>
      <w:r w:rsidRPr="002B52BC">
        <w:rPr>
          <w:rFonts w:ascii="Times New Roman" w:hAnsi="Times New Roman"/>
          <w:sz w:val="24"/>
          <w:szCs w:val="24"/>
        </w:rPr>
        <w:t xml:space="preserve">JEL classification: </w:t>
      </w:r>
    </w:p>
    <w:p w:rsidR="00185A69" w:rsidRPr="002B52BC" w:rsidRDefault="00185A69" w:rsidP="00AD7FE6">
      <w:pPr>
        <w:jc w:val="both"/>
        <w:rPr>
          <w:rFonts w:ascii="Times New Roman" w:hAnsi="Times New Roman"/>
          <w:i/>
          <w:sz w:val="24"/>
          <w:szCs w:val="24"/>
        </w:rPr>
      </w:pPr>
    </w:p>
    <w:p w:rsidR="00185A69" w:rsidRPr="002B52BC" w:rsidRDefault="00185A69" w:rsidP="00AD7FE6">
      <w:pPr>
        <w:jc w:val="both"/>
        <w:rPr>
          <w:rFonts w:ascii="Times New Roman" w:hAnsi="Times New Roman"/>
          <w:i/>
          <w:sz w:val="24"/>
          <w:szCs w:val="24"/>
        </w:rPr>
      </w:pPr>
    </w:p>
    <w:p w:rsidR="00185A69" w:rsidRPr="002B52BC" w:rsidRDefault="00185A69" w:rsidP="00AD7FE6">
      <w:pPr>
        <w:jc w:val="both"/>
        <w:rPr>
          <w:rFonts w:ascii="Times New Roman" w:hAnsi="Times New Roman"/>
          <w:i/>
          <w:sz w:val="24"/>
          <w:szCs w:val="24"/>
        </w:rPr>
      </w:pPr>
    </w:p>
    <w:p w:rsidR="00185A69" w:rsidRDefault="00185A69" w:rsidP="00AD7FE6">
      <w:pPr>
        <w:jc w:val="both"/>
        <w:rPr>
          <w:rFonts w:ascii="Times New Roman" w:hAnsi="Times New Roman"/>
          <w:i/>
          <w:sz w:val="24"/>
          <w:szCs w:val="24"/>
        </w:rPr>
      </w:pPr>
    </w:p>
    <w:p w:rsidR="000A7D35" w:rsidRDefault="000A7D35" w:rsidP="00AD7FE6">
      <w:pPr>
        <w:jc w:val="both"/>
        <w:rPr>
          <w:rFonts w:ascii="Times New Roman" w:hAnsi="Times New Roman"/>
          <w:i/>
          <w:sz w:val="24"/>
          <w:szCs w:val="24"/>
        </w:rPr>
      </w:pPr>
    </w:p>
    <w:p w:rsidR="00185A69" w:rsidRPr="002B52BC" w:rsidRDefault="00185A69" w:rsidP="00593790">
      <w:pPr>
        <w:pStyle w:val="ColorfulList-Accent11"/>
        <w:numPr>
          <w:ilvl w:val="0"/>
          <w:numId w:val="2"/>
        </w:numPr>
        <w:jc w:val="both"/>
        <w:rPr>
          <w:rFonts w:ascii="Times New Roman" w:hAnsi="Times New Roman"/>
          <w:b/>
          <w:sz w:val="24"/>
          <w:szCs w:val="24"/>
        </w:rPr>
      </w:pPr>
      <w:r w:rsidRPr="002B52BC">
        <w:rPr>
          <w:rFonts w:ascii="Times New Roman" w:hAnsi="Times New Roman"/>
          <w:b/>
          <w:sz w:val="24"/>
          <w:szCs w:val="24"/>
        </w:rPr>
        <w:t>Introduction</w:t>
      </w:r>
    </w:p>
    <w:p w:rsidR="00CC1321" w:rsidRPr="002B52BC" w:rsidRDefault="00CC1321" w:rsidP="00AD7FE6">
      <w:pPr>
        <w:jc w:val="both"/>
        <w:rPr>
          <w:rFonts w:ascii="Times New Roman" w:hAnsi="Times New Roman"/>
          <w:b/>
          <w:i/>
          <w:sz w:val="24"/>
          <w:szCs w:val="24"/>
        </w:rPr>
      </w:pPr>
    </w:p>
    <w:p w:rsidR="00EF5AE9" w:rsidRDefault="00E57170" w:rsidP="00C34D3C">
      <w:pPr>
        <w:jc w:val="both"/>
        <w:rPr>
          <w:rFonts w:ascii="Times New Roman" w:hAnsi="Times New Roman"/>
          <w:sz w:val="24"/>
          <w:szCs w:val="24"/>
        </w:rPr>
      </w:pPr>
      <w:r w:rsidRPr="002B52BC">
        <w:rPr>
          <w:rFonts w:ascii="Times New Roman" w:hAnsi="Times New Roman"/>
          <w:sz w:val="24"/>
          <w:szCs w:val="24"/>
        </w:rPr>
        <w:t>Does bank dis</w:t>
      </w:r>
      <w:r w:rsidR="0099379F">
        <w:rPr>
          <w:rFonts w:ascii="Times New Roman" w:hAnsi="Times New Roman"/>
          <w:sz w:val="24"/>
          <w:szCs w:val="24"/>
        </w:rPr>
        <w:t>tress affect firms’ performance</w:t>
      </w:r>
      <w:r w:rsidRPr="002B52BC">
        <w:rPr>
          <w:rFonts w:ascii="Times New Roman" w:hAnsi="Times New Roman"/>
          <w:sz w:val="24"/>
          <w:szCs w:val="24"/>
        </w:rPr>
        <w:t>?</w:t>
      </w:r>
      <w:r w:rsidR="001F6501">
        <w:rPr>
          <w:rFonts w:ascii="Times New Roman" w:hAnsi="Times New Roman"/>
          <w:sz w:val="24"/>
          <w:szCs w:val="24"/>
        </w:rPr>
        <w:t xml:space="preserve"> We </w:t>
      </w:r>
      <w:r w:rsidR="006B7BE9" w:rsidRPr="006B7BE9">
        <w:rPr>
          <w:rFonts w:ascii="Times New Roman" w:hAnsi="Times New Roman"/>
          <w:sz w:val="24"/>
          <w:szCs w:val="24"/>
        </w:rPr>
        <w:t xml:space="preserve">analyze the impact of </w:t>
      </w:r>
      <w:r w:rsidR="001F6501">
        <w:rPr>
          <w:rFonts w:ascii="Times New Roman" w:hAnsi="Times New Roman"/>
          <w:sz w:val="24"/>
          <w:szCs w:val="24"/>
        </w:rPr>
        <w:t xml:space="preserve">banking sector </w:t>
      </w:r>
      <w:r w:rsidR="006B7BE9" w:rsidRPr="006B7BE9">
        <w:rPr>
          <w:rFonts w:ascii="Times New Roman" w:hAnsi="Times New Roman"/>
          <w:sz w:val="24"/>
          <w:szCs w:val="24"/>
        </w:rPr>
        <w:t>distress on the investment behavior of firms. We focus on the Irish economy during the crisis years, 2008-2014, and use a unique database of the universe of Irish firms and their banking relations. Banks’ Credit Default Swap spreads (CDS) are used to capture bank fundamentals as well as risk premia</w:t>
      </w:r>
      <w:r w:rsidR="006B7BE9">
        <w:rPr>
          <w:rFonts w:ascii="Times New Roman" w:hAnsi="Times New Roman"/>
          <w:sz w:val="24"/>
          <w:szCs w:val="24"/>
        </w:rPr>
        <w:t xml:space="preserve">. </w:t>
      </w:r>
    </w:p>
    <w:p w:rsidR="00361F13" w:rsidRPr="001306C3" w:rsidRDefault="0003470D" w:rsidP="001F6501">
      <w:pPr>
        <w:jc w:val="both"/>
        <w:rPr>
          <w:rFonts w:ascii="Times New Roman" w:eastAsia="Times New Roman" w:hAnsi="Times New Roman"/>
          <w:sz w:val="24"/>
          <w:szCs w:val="24"/>
          <w:lang w:val="en-GB"/>
        </w:rPr>
      </w:pPr>
      <w:r w:rsidRPr="006B6B38">
        <w:rPr>
          <w:rFonts w:ascii="Times New Roman" w:eastAsia="Times New Roman" w:hAnsi="Times New Roman"/>
          <w:sz w:val="24"/>
          <w:szCs w:val="24"/>
          <w:lang w:val="en-GB"/>
        </w:rPr>
        <w:t>A number of papers identify</w:t>
      </w:r>
      <w:r w:rsidRPr="006B6B38">
        <w:rPr>
          <w:rFonts w:ascii="Times New Roman" w:eastAsia="Times New Roman" w:hAnsi="Times New Roman"/>
          <w:sz w:val="20"/>
          <w:szCs w:val="20"/>
          <w:lang w:val="en-GB"/>
        </w:rPr>
        <w:t xml:space="preserve"> </w:t>
      </w:r>
      <w:r w:rsidR="00866EEC">
        <w:rPr>
          <w:rFonts w:ascii="Times New Roman" w:eastAsia="Times New Roman" w:hAnsi="Times New Roman"/>
          <w:sz w:val="24"/>
          <w:szCs w:val="24"/>
          <w:lang w:val="en-GB"/>
        </w:rPr>
        <w:t>a</w:t>
      </w:r>
      <w:r w:rsidRPr="006B6B38">
        <w:rPr>
          <w:rFonts w:ascii="Times New Roman" w:eastAsia="Times New Roman" w:hAnsi="Times New Roman"/>
          <w:sz w:val="24"/>
          <w:szCs w:val="24"/>
          <w:lang w:val="en-GB"/>
        </w:rPr>
        <w:t xml:space="preserve"> “Bank lending channel</w:t>
      </w:r>
      <w:r w:rsidR="00866EEC">
        <w:rPr>
          <w:rFonts w:ascii="Times New Roman" w:eastAsia="Times New Roman" w:hAnsi="Times New Roman"/>
          <w:sz w:val="24"/>
          <w:szCs w:val="24"/>
          <w:lang w:val="en-GB"/>
        </w:rPr>
        <w:t>”</w:t>
      </w:r>
      <w:r w:rsidR="00952697">
        <w:rPr>
          <w:rFonts w:ascii="Times New Roman" w:eastAsia="Times New Roman" w:hAnsi="Times New Roman"/>
          <w:sz w:val="24"/>
          <w:szCs w:val="24"/>
          <w:lang w:val="en-GB"/>
        </w:rPr>
        <w:t xml:space="preserve"> where banks themselves face borrowing </w:t>
      </w:r>
      <w:r w:rsidR="00A80A1C">
        <w:rPr>
          <w:rFonts w:ascii="Times New Roman" w:eastAsia="Times New Roman" w:hAnsi="Times New Roman"/>
          <w:sz w:val="24"/>
          <w:szCs w:val="24"/>
          <w:lang w:val="en-GB"/>
        </w:rPr>
        <w:t>con</w:t>
      </w:r>
      <w:r w:rsidR="00952697">
        <w:rPr>
          <w:rFonts w:ascii="Times New Roman" w:eastAsia="Times New Roman" w:hAnsi="Times New Roman"/>
          <w:sz w:val="24"/>
          <w:szCs w:val="24"/>
          <w:lang w:val="en-GB"/>
        </w:rPr>
        <w:t xml:space="preserve">straints, and hence may restrict credit due to </w:t>
      </w:r>
      <w:r w:rsidR="00EF5AE9">
        <w:rPr>
          <w:rFonts w:ascii="Times New Roman" w:eastAsia="Times New Roman" w:hAnsi="Times New Roman"/>
          <w:sz w:val="24"/>
          <w:szCs w:val="24"/>
          <w:lang w:val="en-GB"/>
        </w:rPr>
        <w:t>deterioration</w:t>
      </w:r>
      <w:r w:rsidR="00952697">
        <w:rPr>
          <w:rFonts w:ascii="Times New Roman" w:eastAsia="Times New Roman" w:hAnsi="Times New Roman"/>
          <w:sz w:val="24"/>
          <w:szCs w:val="24"/>
          <w:lang w:val="en-GB"/>
        </w:rPr>
        <w:t xml:space="preserve"> in their balance sheet</w:t>
      </w:r>
      <w:r w:rsidR="00AE0B21">
        <w:rPr>
          <w:rFonts w:ascii="Times New Roman" w:eastAsia="Times New Roman" w:hAnsi="Times New Roman"/>
          <w:sz w:val="24"/>
          <w:szCs w:val="24"/>
          <w:lang w:val="en-GB"/>
        </w:rPr>
        <w:t xml:space="preserve"> (see </w:t>
      </w:r>
      <w:r w:rsidR="00EF5AE9" w:rsidRPr="00EF5AE9">
        <w:rPr>
          <w:rFonts w:ascii="Times New Roman" w:eastAsia="Times New Roman" w:hAnsi="Times New Roman"/>
          <w:sz w:val="24"/>
          <w:szCs w:val="24"/>
          <w:lang w:val="en-GB"/>
        </w:rPr>
        <w:t>Gambacorta</w:t>
      </w:r>
      <w:r w:rsidR="00EF5AE9">
        <w:rPr>
          <w:rFonts w:ascii="Times New Roman" w:eastAsia="Times New Roman" w:hAnsi="Times New Roman"/>
          <w:sz w:val="24"/>
          <w:szCs w:val="24"/>
          <w:lang w:val="en-GB"/>
        </w:rPr>
        <w:t xml:space="preserve"> and </w:t>
      </w:r>
      <w:r w:rsidR="00EF5AE9" w:rsidRPr="00EF5AE9">
        <w:rPr>
          <w:rFonts w:ascii="Times New Roman" w:eastAsia="Times New Roman" w:hAnsi="Times New Roman"/>
          <w:sz w:val="24"/>
          <w:szCs w:val="24"/>
          <w:lang w:val="en-GB"/>
        </w:rPr>
        <w:t>Marques-Ibanez</w:t>
      </w:r>
      <w:r w:rsidR="00EF5AE9">
        <w:rPr>
          <w:rFonts w:ascii="Times New Roman" w:eastAsia="Times New Roman" w:hAnsi="Times New Roman"/>
          <w:sz w:val="24"/>
          <w:szCs w:val="24"/>
          <w:lang w:val="en-GB"/>
        </w:rPr>
        <w:t>, 2011</w:t>
      </w:r>
      <w:r w:rsidR="00AE0B21">
        <w:rPr>
          <w:rFonts w:ascii="Times New Roman" w:eastAsia="Times New Roman" w:hAnsi="Times New Roman"/>
          <w:sz w:val="24"/>
          <w:szCs w:val="24"/>
          <w:lang w:val="en-GB"/>
        </w:rPr>
        <w:t xml:space="preserve"> for a detailed review</w:t>
      </w:r>
      <w:r w:rsidR="00EF5AE9">
        <w:rPr>
          <w:rFonts w:ascii="Times New Roman" w:eastAsia="Times New Roman" w:hAnsi="Times New Roman"/>
          <w:sz w:val="24"/>
          <w:szCs w:val="24"/>
          <w:lang w:val="en-GB"/>
        </w:rPr>
        <w:t>)</w:t>
      </w:r>
      <w:r w:rsidR="00952697">
        <w:rPr>
          <w:rFonts w:ascii="Times New Roman" w:eastAsia="Times New Roman" w:hAnsi="Times New Roman"/>
          <w:sz w:val="24"/>
          <w:szCs w:val="24"/>
          <w:lang w:val="en-GB"/>
        </w:rPr>
        <w:t>.</w:t>
      </w:r>
      <w:r w:rsidR="006B7BE9">
        <w:rPr>
          <w:rFonts w:ascii="Times New Roman" w:eastAsia="Times New Roman" w:hAnsi="Times New Roman"/>
          <w:sz w:val="24"/>
          <w:szCs w:val="24"/>
          <w:lang w:val="en-GB"/>
        </w:rPr>
        <w:t xml:space="preserve"> </w:t>
      </w:r>
      <w:r w:rsidR="00361F13" w:rsidRPr="0099379F">
        <w:rPr>
          <w:rFonts w:ascii="Times New Roman" w:eastAsia="Times New Roman" w:hAnsi="Times New Roman"/>
          <w:sz w:val="24"/>
          <w:szCs w:val="24"/>
          <w:lang w:val="en-GB"/>
        </w:rPr>
        <w:t xml:space="preserve">Acharyaa et al (2015) explore the impact of European Sovereign Debt Crisis on loan supply disruptions for GIIPS banks and the impact on </w:t>
      </w:r>
      <w:r w:rsidR="001A42AB" w:rsidRPr="0099379F">
        <w:rPr>
          <w:rFonts w:ascii="Times New Roman" w:eastAsia="Times New Roman" w:hAnsi="Times New Roman"/>
          <w:sz w:val="24"/>
          <w:szCs w:val="24"/>
          <w:lang w:val="en-GB"/>
        </w:rPr>
        <w:t xml:space="preserve">the </w:t>
      </w:r>
      <w:r w:rsidR="00361F13" w:rsidRPr="0099379F">
        <w:rPr>
          <w:rFonts w:ascii="Times New Roman" w:eastAsia="Times New Roman" w:hAnsi="Times New Roman"/>
          <w:sz w:val="24"/>
          <w:szCs w:val="24"/>
          <w:lang w:val="en-GB"/>
        </w:rPr>
        <w:t xml:space="preserve">performance </w:t>
      </w:r>
      <w:r w:rsidR="001A42AB" w:rsidRPr="0099379F">
        <w:rPr>
          <w:rFonts w:ascii="Times New Roman" w:eastAsia="Times New Roman" w:hAnsi="Times New Roman"/>
          <w:sz w:val="24"/>
          <w:szCs w:val="24"/>
          <w:lang w:val="en-GB"/>
        </w:rPr>
        <w:t xml:space="preserve">of </w:t>
      </w:r>
      <w:r w:rsidR="00361F13" w:rsidRPr="0099379F">
        <w:rPr>
          <w:rFonts w:ascii="Times New Roman" w:eastAsia="Times New Roman" w:hAnsi="Times New Roman"/>
          <w:sz w:val="24"/>
          <w:szCs w:val="24"/>
          <w:lang w:val="en-GB"/>
        </w:rPr>
        <w:t xml:space="preserve">European borrowers that have a significant business relationship with these banks. Carvalho et al </w:t>
      </w:r>
      <w:r w:rsidR="001A42AB" w:rsidRPr="0099379F">
        <w:rPr>
          <w:rFonts w:ascii="Times New Roman" w:eastAsia="Times New Roman" w:hAnsi="Times New Roman"/>
          <w:sz w:val="24"/>
          <w:szCs w:val="24"/>
          <w:lang w:val="en-GB"/>
        </w:rPr>
        <w:t>(</w:t>
      </w:r>
      <w:r w:rsidR="00361F13" w:rsidRPr="0099379F">
        <w:rPr>
          <w:rFonts w:ascii="Times New Roman" w:eastAsia="Times New Roman" w:hAnsi="Times New Roman"/>
          <w:sz w:val="24"/>
          <w:szCs w:val="24"/>
          <w:lang w:val="en-GB"/>
        </w:rPr>
        <w:t>2014</w:t>
      </w:r>
      <w:r w:rsidR="001A42AB" w:rsidRPr="0099379F">
        <w:rPr>
          <w:rFonts w:ascii="Times New Roman" w:eastAsia="Times New Roman" w:hAnsi="Times New Roman"/>
          <w:sz w:val="24"/>
          <w:szCs w:val="24"/>
          <w:lang w:val="en-GB"/>
        </w:rPr>
        <w:t>)</w:t>
      </w:r>
      <w:r w:rsidR="00361F13" w:rsidRPr="0099379F">
        <w:rPr>
          <w:rFonts w:ascii="Times New Roman" w:eastAsia="Times New Roman" w:hAnsi="Times New Roman"/>
          <w:sz w:val="24"/>
          <w:szCs w:val="24"/>
          <w:lang w:val="en-GB"/>
        </w:rPr>
        <w:t>, analyses 1,564 large and very large publicly traded firms in 34 countries and finds that, during financial crises, firms with strong relationship with banks are affected by bank distress, and that public debt markets do not mitigate the credit constraint for these firms</w:t>
      </w:r>
      <w:r w:rsidR="00361F13" w:rsidRPr="0099379F">
        <w:rPr>
          <w:rFonts w:ascii="Times New Roman" w:hAnsi="Times New Roman"/>
          <w:sz w:val="24"/>
          <w:szCs w:val="24"/>
        </w:rPr>
        <w:t xml:space="preserve"> </w:t>
      </w:r>
    </w:p>
    <w:p w:rsidR="00EB5D59" w:rsidRPr="002B52BC" w:rsidRDefault="00735017" w:rsidP="00EB5D59">
      <w:pPr>
        <w:jc w:val="both"/>
        <w:rPr>
          <w:rFonts w:ascii="Times New Roman" w:eastAsia="Times New Roman" w:hAnsi="Times New Roman"/>
          <w:sz w:val="24"/>
          <w:szCs w:val="24"/>
          <w:lang w:val="en-GB"/>
        </w:rPr>
      </w:pPr>
      <w:r>
        <w:rPr>
          <w:rFonts w:ascii="Times New Roman" w:eastAsia="Times New Roman" w:hAnsi="Times New Roman"/>
          <w:sz w:val="24"/>
          <w:szCs w:val="24"/>
          <w:lang w:val="en-GB"/>
        </w:rPr>
        <w:t>Our paper improves upon the previous studies in several ways: first, we include</w:t>
      </w:r>
      <w:r w:rsidR="00EB5D59" w:rsidRPr="002B52BC">
        <w:rPr>
          <w:rFonts w:ascii="Times New Roman" w:eastAsia="Times New Roman" w:hAnsi="Times New Roman"/>
          <w:sz w:val="24"/>
          <w:szCs w:val="24"/>
          <w:lang w:val="en-GB"/>
        </w:rPr>
        <w:t xml:space="preserve"> small and medium firms, </w:t>
      </w:r>
      <w:r w:rsidR="00EB5D59">
        <w:rPr>
          <w:rFonts w:ascii="Times New Roman" w:eastAsia="Times New Roman" w:hAnsi="Times New Roman"/>
          <w:sz w:val="24"/>
          <w:szCs w:val="24"/>
          <w:lang w:val="en-GB"/>
        </w:rPr>
        <w:t xml:space="preserve">which are likely to suffer the most, </w:t>
      </w:r>
      <w:r w:rsidR="00EB5D59" w:rsidRPr="002B52BC">
        <w:rPr>
          <w:rFonts w:ascii="Times New Roman" w:eastAsia="Times New Roman" w:hAnsi="Times New Roman"/>
          <w:sz w:val="24"/>
          <w:szCs w:val="24"/>
          <w:lang w:val="en-GB"/>
        </w:rPr>
        <w:t>allowing us to provide more precise estimates of the effects</w:t>
      </w:r>
      <w:r w:rsidR="00FD0A25">
        <w:rPr>
          <w:rFonts w:ascii="Times New Roman" w:eastAsia="Times New Roman" w:hAnsi="Times New Roman"/>
          <w:sz w:val="24"/>
          <w:szCs w:val="24"/>
          <w:lang w:val="en-GB"/>
        </w:rPr>
        <w:t xml:space="preserve"> of the crises. The above papers</w:t>
      </w:r>
      <w:r w:rsidR="00EB5D59" w:rsidRPr="002B52BC">
        <w:rPr>
          <w:rFonts w:ascii="Times New Roman" w:eastAsia="Times New Roman" w:hAnsi="Times New Roman"/>
          <w:sz w:val="24"/>
          <w:szCs w:val="24"/>
          <w:lang w:val="en-GB"/>
        </w:rPr>
        <w:t xml:space="preserve"> used syndicated loans data to match firms with banks, therefore restricting their analysis to publicly trade</w:t>
      </w:r>
      <w:r w:rsidR="00EB5D59">
        <w:rPr>
          <w:rFonts w:ascii="Times New Roman" w:eastAsia="Times New Roman" w:hAnsi="Times New Roman"/>
          <w:sz w:val="24"/>
          <w:szCs w:val="24"/>
          <w:lang w:val="en-GB"/>
        </w:rPr>
        <w:t>d</w:t>
      </w:r>
      <w:r w:rsidR="00EB5D59" w:rsidRPr="002B52BC">
        <w:rPr>
          <w:rFonts w:ascii="Times New Roman" w:eastAsia="Times New Roman" w:hAnsi="Times New Roman"/>
          <w:sz w:val="24"/>
          <w:szCs w:val="24"/>
          <w:lang w:val="en-GB"/>
        </w:rPr>
        <w:t xml:space="preserve">, large and very large firms, which often have access to alternative sources of external finance, therefore underestimating the importance of the </w:t>
      </w:r>
      <w:r w:rsidR="00EB5D59">
        <w:rPr>
          <w:rFonts w:ascii="Times New Roman" w:eastAsia="Times New Roman" w:hAnsi="Times New Roman"/>
          <w:sz w:val="24"/>
          <w:szCs w:val="24"/>
          <w:lang w:val="en-GB"/>
        </w:rPr>
        <w:t>bank lending channel; second,</w:t>
      </w:r>
      <w:r w:rsidR="00EB5D59" w:rsidRPr="002B52BC">
        <w:rPr>
          <w:rFonts w:ascii="Times New Roman" w:eastAsia="Times New Roman" w:hAnsi="Times New Roman"/>
          <w:sz w:val="24"/>
          <w:szCs w:val="24"/>
          <w:lang w:val="en-GB"/>
        </w:rPr>
        <w:t xml:space="preserve"> the measure of bank distress is extremely important for the analysis </w:t>
      </w:r>
      <w:r w:rsidR="00EB5D59">
        <w:rPr>
          <w:rFonts w:ascii="Times New Roman" w:eastAsia="Times New Roman" w:hAnsi="Times New Roman"/>
          <w:sz w:val="24"/>
          <w:szCs w:val="24"/>
          <w:lang w:val="en-GB"/>
        </w:rPr>
        <w:t xml:space="preserve">– </w:t>
      </w:r>
      <w:r w:rsidR="00EB5D59" w:rsidRPr="002B52BC">
        <w:rPr>
          <w:rFonts w:ascii="Times New Roman" w:eastAsia="Times New Roman" w:hAnsi="Times New Roman"/>
          <w:sz w:val="24"/>
          <w:szCs w:val="24"/>
          <w:lang w:val="en-GB"/>
        </w:rPr>
        <w:t>we use banks’ Credit Default Swap (CDS) spread</w:t>
      </w:r>
      <w:r w:rsidR="00EB5D59">
        <w:rPr>
          <w:rFonts w:ascii="Times New Roman" w:eastAsia="Times New Roman" w:hAnsi="Times New Roman"/>
          <w:sz w:val="24"/>
          <w:szCs w:val="24"/>
          <w:lang w:val="en-GB"/>
        </w:rPr>
        <w:t>s</w:t>
      </w:r>
      <w:r w:rsidR="00EB5D59" w:rsidRPr="002B52BC">
        <w:rPr>
          <w:rFonts w:ascii="Times New Roman" w:eastAsia="Times New Roman" w:hAnsi="Times New Roman"/>
          <w:sz w:val="24"/>
          <w:szCs w:val="24"/>
          <w:lang w:val="en-GB"/>
        </w:rPr>
        <w:t>, a market based indicator that</w:t>
      </w:r>
      <w:r w:rsidR="00EB5D59">
        <w:rPr>
          <w:rFonts w:ascii="Times New Roman" w:eastAsia="Times New Roman" w:hAnsi="Times New Roman"/>
          <w:sz w:val="24"/>
          <w:szCs w:val="24"/>
          <w:lang w:val="en-GB"/>
        </w:rPr>
        <w:t xml:space="preserve"> which allows timely information on the default risk of banks which is not subject to the delay in ratings agencies evaluation of risk; third, </w:t>
      </w:r>
      <w:r w:rsidR="00EB5D59" w:rsidRPr="002B52BC">
        <w:rPr>
          <w:rFonts w:ascii="Times New Roman" w:eastAsia="Times New Roman" w:hAnsi="Times New Roman"/>
          <w:sz w:val="24"/>
          <w:szCs w:val="24"/>
          <w:lang w:val="en-GB"/>
        </w:rPr>
        <w:t xml:space="preserve">we </w:t>
      </w:r>
      <w:r w:rsidR="00EB5D59">
        <w:rPr>
          <w:rFonts w:ascii="Times New Roman" w:eastAsia="Times New Roman" w:hAnsi="Times New Roman"/>
          <w:sz w:val="24"/>
          <w:szCs w:val="24"/>
          <w:lang w:val="en-GB"/>
        </w:rPr>
        <w:t xml:space="preserve">carefully </w:t>
      </w:r>
      <w:r w:rsidR="00EB5D59" w:rsidRPr="002B52BC">
        <w:rPr>
          <w:rFonts w:ascii="Times New Roman" w:eastAsia="Times New Roman" w:hAnsi="Times New Roman"/>
          <w:sz w:val="24"/>
          <w:szCs w:val="24"/>
          <w:lang w:val="en-GB"/>
        </w:rPr>
        <w:t xml:space="preserve">control for both domestic as well as foreign demand, which is especially important </w:t>
      </w:r>
      <w:r w:rsidR="00EB5D59">
        <w:rPr>
          <w:rFonts w:ascii="Times New Roman" w:eastAsia="Times New Roman" w:hAnsi="Times New Roman"/>
          <w:sz w:val="24"/>
          <w:szCs w:val="24"/>
          <w:lang w:val="en-GB"/>
        </w:rPr>
        <w:t xml:space="preserve">for </w:t>
      </w:r>
      <w:r w:rsidR="00EB5D59" w:rsidRPr="002B52BC">
        <w:rPr>
          <w:rFonts w:ascii="Times New Roman" w:eastAsia="Times New Roman" w:hAnsi="Times New Roman"/>
          <w:sz w:val="24"/>
          <w:szCs w:val="24"/>
          <w:lang w:val="en-GB"/>
        </w:rPr>
        <w:t>Irish firms</w:t>
      </w:r>
      <w:r w:rsidR="00EB5D59">
        <w:rPr>
          <w:rFonts w:ascii="Times New Roman" w:eastAsia="Times New Roman" w:hAnsi="Times New Roman"/>
          <w:sz w:val="24"/>
          <w:szCs w:val="24"/>
          <w:lang w:val="en-GB"/>
        </w:rPr>
        <w:t>, which</w:t>
      </w:r>
      <w:r w:rsidR="00EB5D59" w:rsidRPr="002B52BC">
        <w:rPr>
          <w:rFonts w:ascii="Times New Roman" w:eastAsia="Times New Roman" w:hAnsi="Times New Roman"/>
          <w:sz w:val="24"/>
          <w:szCs w:val="24"/>
          <w:lang w:val="en-GB"/>
        </w:rPr>
        <w:t xml:space="preserve"> are v</w:t>
      </w:r>
      <w:r w:rsidR="00EB5D59">
        <w:rPr>
          <w:rFonts w:ascii="Times New Roman" w:eastAsia="Times New Roman" w:hAnsi="Times New Roman"/>
          <w:sz w:val="24"/>
          <w:szCs w:val="24"/>
          <w:lang w:val="en-GB"/>
        </w:rPr>
        <w:t>ery integrated in world markets; fourth,</w:t>
      </w:r>
      <w:r w:rsidR="00EB5D59" w:rsidRPr="002B52BC">
        <w:rPr>
          <w:rFonts w:ascii="Times New Roman" w:eastAsia="Times New Roman" w:hAnsi="Times New Roman"/>
          <w:sz w:val="24"/>
          <w:szCs w:val="24"/>
          <w:lang w:val="en-GB"/>
        </w:rPr>
        <w:t xml:space="preserve"> we c</w:t>
      </w:r>
      <w:r w:rsidR="00EB5D59">
        <w:rPr>
          <w:rFonts w:ascii="Times New Roman" w:eastAsia="Times New Roman" w:hAnsi="Times New Roman"/>
          <w:sz w:val="24"/>
          <w:szCs w:val="24"/>
          <w:lang w:val="en-GB"/>
        </w:rPr>
        <w:t>ontrol for firms’ dependence on</w:t>
      </w:r>
      <w:r w:rsidR="00EB5D59" w:rsidRPr="002B52BC">
        <w:rPr>
          <w:rFonts w:ascii="Times New Roman" w:eastAsia="Times New Roman" w:hAnsi="Times New Roman"/>
          <w:sz w:val="24"/>
          <w:szCs w:val="24"/>
          <w:lang w:val="en-GB"/>
        </w:rPr>
        <w:t xml:space="preserve"> ex</w:t>
      </w:r>
      <w:r w:rsidR="00EB5D59">
        <w:rPr>
          <w:rFonts w:ascii="Times New Roman" w:eastAsia="Times New Roman" w:hAnsi="Times New Roman"/>
          <w:sz w:val="24"/>
          <w:szCs w:val="24"/>
          <w:lang w:val="en-GB"/>
        </w:rPr>
        <w:t>ternal finance, which influences</w:t>
      </w:r>
      <w:r w:rsidR="00EB5D59" w:rsidRPr="002B52BC">
        <w:rPr>
          <w:rFonts w:ascii="Times New Roman" w:eastAsia="Times New Roman" w:hAnsi="Times New Roman"/>
          <w:sz w:val="24"/>
          <w:szCs w:val="24"/>
          <w:lang w:val="en-GB"/>
        </w:rPr>
        <w:t xml:space="preserve"> the degree to which firms respond to disruption</w:t>
      </w:r>
      <w:r w:rsidR="00EB5D59">
        <w:rPr>
          <w:rFonts w:ascii="Times New Roman" w:eastAsia="Times New Roman" w:hAnsi="Times New Roman"/>
          <w:sz w:val="24"/>
          <w:szCs w:val="24"/>
          <w:lang w:val="en-GB"/>
        </w:rPr>
        <w:t>s</w:t>
      </w:r>
      <w:r w:rsidR="00EB5D59" w:rsidRPr="002B52BC">
        <w:rPr>
          <w:rFonts w:ascii="Times New Roman" w:eastAsia="Times New Roman" w:hAnsi="Times New Roman"/>
          <w:sz w:val="24"/>
          <w:szCs w:val="24"/>
          <w:lang w:val="en-GB"/>
        </w:rPr>
        <w:t xml:space="preserve"> in the supply of bank loans.</w:t>
      </w:r>
      <w:r w:rsidR="00EB5D59">
        <w:rPr>
          <w:rFonts w:ascii="Times New Roman" w:eastAsia="Times New Roman" w:hAnsi="Times New Roman"/>
          <w:sz w:val="24"/>
          <w:szCs w:val="24"/>
          <w:lang w:val="en-GB"/>
        </w:rPr>
        <w:t xml:space="preserve"> Finally, we account for possible reverse causation in estimation by using instrumental variables.</w:t>
      </w:r>
    </w:p>
    <w:p w:rsidR="00EB5D59" w:rsidRDefault="00361F13" w:rsidP="00AD7FE6">
      <w:pPr>
        <w:jc w:val="both"/>
        <w:rPr>
          <w:rFonts w:ascii="Times New Roman" w:eastAsia="Times New Roman" w:hAnsi="Times New Roman"/>
          <w:sz w:val="24"/>
          <w:szCs w:val="24"/>
          <w:lang w:val="en-GB"/>
        </w:rPr>
      </w:pPr>
      <w:r w:rsidRPr="002B52BC">
        <w:rPr>
          <w:rFonts w:ascii="Times New Roman" w:eastAsia="Times New Roman" w:hAnsi="Times New Roman"/>
          <w:sz w:val="24"/>
          <w:szCs w:val="24"/>
          <w:lang w:val="en-GB"/>
        </w:rPr>
        <w:t>We find that bank distress negatively affects borrowing firm’s inves</w:t>
      </w:r>
      <w:r w:rsidR="00AD7FE6">
        <w:rPr>
          <w:rFonts w:ascii="Times New Roman" w:eastAsia="Times New Roman" w:hAnsi="Times New Roman"/>
          <w:sz w:val="24"/>
          <w:szCs w:val="24"/>
          <w:lang w:val="en-GB"/>
        </w:rPr>
        <w:t>tments</w:t>
      </w:r>
      <w:r w:rsidR="000A72AC">
        <w:rPr>
          <w:rFonts w:ascii="Times New Roman" w:eastAsia="Times New Roman" w:hAnsi="Times New Roman"/>
          <w:sz w:val="24"/>
          <w:szCs w:val="24"/>
          <w:lang w:val="en-GB"/>
        </w:rPr>
        <w:t xml:space="preserve"> and </w:t>
      </w:r>
      <w:r w:rsidR="008B2DDD">
        <w:rPr>
          <w:rFonts w:ascii="Times New Roman" w:eastAsia="Times New Roman" w:hAnsi="Times New Roman"/>
          <w:sz w:val="24"/>
          <w:szCs w:val="24"/>
          <w:lang w:val="en-GB"/>
        </w:rPr>
        <w:t xml:space="preserve">that </w:t>
      </w:r>
      <w:r w:rsidRPr="002B52BC">
        <w:rPr>
          <w:rFonts w:ascii="Times New Roman" w:eastAsia="Times New Roman" w:hAnsi="Times New Roman"/>
          <w:sz w:val="24"/>
          <w:szCs w:val="24"/>
          <w:lang w:val="en-GB"/>
        </w:rPr>
        <w:t>firms in industries that rely more on external finance for investments</w:t>
      </w:r>
      <w:r w:rsidR="000A72AC">
        <w:rPr>
          <w:rFonts w:ascii="Times New Roman" w:eastAsia="Times New Roman" w:hAnsi="Times New Roman"/>
          <w:sz w:val="24"/>
          <w:szCs w:val="24"/>
          <w:lang w:val="en-GB"/>
        </w:rPr>
        <w:t>, are</w:t>
      </w:r>
      <w:r w:rsidRPr="002B52BC">
        <w:rPr>
          <w:rFonts w:ascii="Times New Roman" w:eastAsia="Times New Roman" w:hAnsi="Times New Roman"/>
          <w:sz w:val="24"/>
          <w:szCs w:val="24"/>
          <w:lang w:val="en-GB"/>
        </w:rPr>
        <w:t xml:space="preserve"> </w:t>
      </w:r>
      <w:r w:rsidR="000A72AC" w:rsidRPr="002B52BC">
        <w:rPr>
          <w:rFonts w:ascii="Times New Roman" w:eastAsia="Times New Roman" w:hAnsi="Times New Roman"/>
          <w:sz w:val="24"/>
          <w:szCs w:val="24"/>
          <w:lang w:val="en-GB"/>
        </w:rPr>
        <w:t xml:space="preserve">more sensitive to business cycles </w:t>
      </w:r>
      <w:r w:rsidR="000A72AC">
        <w:rPr>
          <w:rFonts w:ascii="Times New Roman" w:eastAsia="Times New Roman" w:hAnsi="Times New Roman"/>
          <w:sz w:val="24"/>
          <w:szCs w:val="24"/>
          <w:lang w:val="en-GB"/>
        </w:rPr>
        <w:t xml:space="preserve">and </w:t>
      </w:r>
      <w:r w:rsidR="00A43E82">
        <w:rPr>
          <w:rFonts w:ascii="Times New Roman" w:eastAsia="Times New Roman" w:hAnsi="Times New Roman"/>
          <w:sz w:val="24"/>
          <w:szCs w:val="24"/>
          <w:lang w:val="en-GB"/>
        </w:rPr>
        <w:t xml:space="preserve">have </w:t>
      </w:r>
      <w:r w:rsidR="000A72AC">
        <w:rPr>
          <w:rFonts w:ascii="Times New Roman" w:eastAsia="Times New Roman" w:hAnsi="Times New Roman"/>
          <w:sz w:val="24"/>
          <w:szCs w:val="24"/>
          <w:lang w:val="en-GB"/>
        </w:rPr>
        <w:t>no access to public</w:t>
      </w:r>
      <w:r w:rsidR="00EB5D59">
        <w:rPr>
          <w:rFonts w:ascii="Times New Roman" w:eastAsia="Times New Roman" w:hAnsi="Times New Roman"/>
          <w:sz w:val="24"/>
          <w:szCs w:val="24"/>
          <w:lang w:val="en-GB"/>
        </w:rPr>
        <w:t xml:space="preserve"> debt</w:t>
      </w:r>
      <w:r w:rsidR="008B2DDD">
        <w:rPr>
          <w:rFonts w:ascii="Times New Roman" w:eastAsia="Times New Roman" w:hAnsi="Times New Roman"/>
          <w:sz w:val="24"/>
          <w:szCs w:val="24"/>
          <w:lang w:val="en-GB"/>
        </w:rPr>
        <w:t>,</w:t>
      </w:r>
      <w:r w:rsidRPr="002B52BC">
        <w:rPr>
          <w:rFonts w:ascii="Times New Roman" w:eastAsia="Times New Roman" w:hAnsi="Times New Roman"/>
          <w:sz w:val="24"/>
          <w:szCs w:val="24"/>
          <w:lang w:val="en-GB"/>
        </w:rPr>
        <w:t xml:space="preserve"> will be more negatively </w:t>
      </w:r>
      <w:r w:rsidR="003F660F">
        <w:rPr>
          <w:rFonts w:ascii="Times New Roman" w:eastAsia="Times New Roman" w:hAnsi="Times New Roman"/>
          <w:sz w:val="24"/>
          <w:szCs w:val="24"/>
          <w:lang w:val="en-GB"/>
        </w:rPr>
        <w:t>affected.</w:t>
      </w:r>
      <w:r w:rsidR="00EB5D59">
        <w:rPr>
          <w:rFonts w:ascii="Times New Roman" w:eastAsia="Times New Roman" w:hAnsi="Times New Roman"/>
          <w:sz w:val="24"/>
          <w:szCs w:val="24"/>
          <w:lang w:val="en-GB"/>
        </w:rPr>
        <w:t xml:space="preserve"> </w:t>
      </w:r>
    </w:p>
    <w:p w:rsidR="00291FC8" w:rsidRPr="00593790" w:rsidRDefault="00361F13" w:rsidP="00AD7FE6">
      <w:pPr>
        <w:jc w:val="both"/>
        <w:rPr>
          <w:rFonts w:ascii="Times New Roman" w:hAnsi="Times New Roman"/>
          <w:sz w:val="24"/>
        </w:rPr>
      </w:pPr>
      <w:r w:rsidRPr="002B52BC">
        <w:rPr>
          <w:rFonts w:ascii="Times New Roman" w:eastAsia="Times New Roman" w:hAnsi="Times New Roman"/>
          <w:sz w:val="24"/>
          <w:szCs w:val="24"/>
          <w:lang w:val="en-GB"/>
        </w:rPr>
        <w:t xml:space="preserve">The paper is </w:t>
      </w:r>
      <w:r w:rsidR="00AD7FE6">
        <w:rPr>
          <w:rFonts w:ascii="Times New Roman" w:eastAsia="Times New Roman" w:hAnsi="Times New Roman"/>
          <w:sz w:val="24"/>
          <w:szCs w:val="24"/>
          <w:lang w:val="en-GB"/>
        </w:rPr>
        <w:t>structured as follows: section 2</w:t>
      </w:r>
      <w:r w:rsidRPr="002B52BC">
        <w:rPr>
          <w:rFonts w:ascii="Times New Roman" w:eastAsia="Times New Roman" w:hAnsi="Times New Roman"/>
          <w:sz w:val="24"/>
          <w:szCs w:val="24"/>
          <w:lang w:val="en-GB"/>
        </w:rPr>
        <w:t xml:space="preserve"> describes the data, and the</w:t>
      </w:r>
      <w:r w:rsidR="00AD7FE6">
        <w:rPr>
          <w:rFonts w:ascii="Times New Roman" w:eastAsia="Times New Roman" w:hAnsi="Times New Roman"/>
          <w:sz w:val="24"/>
          <w:szCs w:val="24"/>
          <w:lang w:val="en-GB"/>
        </w:rPr>
        <w:t xml:space="preserve"> econometric strategy. Section 3</w:t>
      </w:r>
      <w:r w:rsidRPr="002B52BC">
        <w:rPr>
          <w:rFonts w:ascii="Times New Roman" w:eastAsia="Times New Roman" w:hAnsi="Times New Roman"/>
          <w:sz w:val="24"/>
          <w:szCs w:val="24"/>
          <w:lang w:val="en-GB"/>
        </w:rPr>
        <w:t xml:space="preserve"> discusses the results.</w:t>
      </w:r>
      <w:r w:rsidR="00AD7FE6">
        <w:rPr>
          <w:rFonts w:ascii="Times New Roman" w:eastAsia="Times New Roman" w:hAnsi="Times New Roman"/>
          <w:sz w:val="24"/>
          <w:szCs w:val="24"/>
          <w:lang w:val="en-GB"/>
        </w:rPr>
        <w:t xml:space="preserve"> Section 4</w:t>
      </w:r>
      <w:r w:rsidRPr="002B52BC">
        <w:rPr>
          <w:rFonts w:ascii="Times New Roman" w:eastAsia="Times New Roman" w:hAnsi="Times New Roman"/>
          <w:sz w:val="24"/>
          <w:szCs w:val="24"/>
          <w:lang w:val="en-GB"/>
        </w:rPr>
        <w:t xml:space="preserve"> provi</w:t>
      </w:r>
      <w:r w:rsidR="00AD7FE6">
        <w:rPr>
          <w:rFonts w:ascii="Times New Roman" w:eastAsia="Times New Roman" w:hAnsi="Times New Roman"/>
          <w:sz w:val="24"/>
          <w:szCs w:val="24"/>
          <w:lang w:val="en-GB"/>
        </w:rPr>
        <w:t>des robustness checks. Section 5</w:t>
      </w:r>
      <w:r w:rsidRPr="002B52BC">
        <w:rPr>
          <w:rFonts w:ascii="Times New Roman" w:eastAsia="Times New Roman" w:hAnsi="Times New Roman"/>
          <w:sz w:val="24"/>
          <w:szCs w:val="24"/>
          <w:lang w:val="en-GB"/>
        </w:rPr>
        <w:t xml:space="preserve"> concludes.</w:t>
      </w:r>
    </w:p>
    <w:p w:rsidR="008D78F1" w:rsidRDefault="008D78F1" w:rsidP="00AD7FE6">
      <w:pPr>
        <w:jc w:val="both"/>
        <w:rPr>
          <w:rFonts w:ascii="Times New Roman" w:hAnsi="Times New Roman"/>
          <w:sz w:val="24"/>
          <w:szCs w:val="24"/>
        </w:rPr>
      </w:pPr>
    </w:p>
    <w:p w:rsidR="008D78F1" w:rsidRDefault="008D78F1" w:rsidP="00AD7FE6">
      <w:pPr>
        <w:jc w:val="both"/>
        <w:rPr>
          <w:rFonts w:ascii="Times New Roman" w:hAnsi="Times New Roman"/>
          <w:sz w:val="24"/>
          <w:szCs w:val="24"/>
        </w:rPr>
      </w:pPr>
    </w:p>
    <w:p w:rsidR="00CC1321" w:rsidRPr="002B52BC" w:rsidRDefault="004A38D4" w:rsidP="00AD7FE6">
      <w:pPr>
        <w:jc w:val="both"/>
        <w:rPr>
          <w:rFonts w:ascii="Times New Roman" w:hAnsi="Times New Roman"/>
          <w:b/>
          <w:i/>
          <w:sz w:val="24"/>
          <w:szCs w:val="24"/>
        </w:rPr>
      </w:pPr>
      <w:r w:rsidRPr="002B52BC">
        <w:rPr>
          <w:rFonts w:ascii="Times New Roman" w:hAnsi="Times New Roman"/>
          <w:b/>
          <w:sz w:val="24"/>
          <w:szCs w:val="24"/>
        </w:rPr>
        <w:t>2. Data Description</w:t>
      </w:r>
      <w:r w:rsidR="00CC1321" w:rsidRPr="002B52BC">
        <w:rPr>
          <w:rFonts w:ascii="Times New Roman" w:hAnsi="Times New Roman"/>
          <w:b/>
          <w:sz w:val="24"/>
          <w:szCs w:val="24"/>
        </w:rPr>
        <w:t xml:space="preserve"> and Econometric Strategy</w:t>
      </w:r>
    </w:p>
    <w:p w:rsidR="00CC1321" w:rsidRPr="002B52BC" w:rsidRDefault="004A38D4" w:rsidP="00AD7FE6">
      <w:pPr>
        <w:ind w:firstLine="720"/>
        <w:jc w:val="both"/>
        <w:rPr>
          <w:rFonts w:ascii="Times New Roman" w:hAnsi="Times New Roman"/>
          <w:b/>
          <w:i/>
          <w:sz w:val="24"/>
          <w:szCs w:val="24"/>
        </w:rPr>
      </w:pPr>
      <w:r w:rsidRPr="002B52BC">
        <w:rPr>
          <w:rFonts w:ascii="Times New Roman" w:hAnsi="Times New Roman"/>
          <w:b/>
          <w:sz w:val="24"/>
          <w:szCs w:val="24"/>
        </w:rPr>
        <w:lastRenderedPageBreak/>
        <w:t xml:space="preserve">2.1. </w:t>
      </w:r>
      <w:r w:rsidR="00CC1321" w:rsidRPr="002B52BC">
        <w:rPr>
          <w:rFonts w:ascii="Times New Roman" w:hAnsi="Times New Roman"/>
          <w:b/>
          <w:sz w:val="24"/>
          <w:szCs w:val="24"/>
        </w:rPr>
        <w:t xml:space="preserve">Data </w:t>
      </w:r>
      <w:r w:rsidRPr="002B52BC">
        <w:rPr>
          <w:rFonts w:ascii="Times New Roman" w:hAnsi="Times New Roman"/>
          <w:b/>
          <w:sz w:val="24"/>
          <w:szCs w:val="24"/>
        </w:rPr>
        <w:t>Description</w:t>
      </w:r>
    </w:p>
    <w:p w:rsidR="00CC1321" w:rsidRDefault="00952697" w:rsidP="00FF379D">
      <w:pPr>
        <w:pStyle w:val="HTMLPreformatted"/>
        <w:shd w:val="clear" w:color="auto" w:fill="FFFFFF"/>
        <w:jc w:val="both"/>
        <w:rPr>
          <w:rFonts w:ascii="Times New Roman" w:hAnsi="Times New Roman"/>
          <w:sz w:val="24"/>
          <w:szCs w:val="24"/>
        </w:rPr>
      </w:pPr>
      <w:r>
        <w:rPr>
          <w:rFonts w:ascii="Times New Roman" w:hAnsi="Times New Roman"/>
          <w:sz w:val="24"/>
          <w:szCs w:val="24"/>
        </w:rPr>
        <w:t>We use</w:t>
      </w:r>
      <w:r w:rsidR="008D78F1">
        <w:rPr>
          <w:rFonts w:ascii="Times New Roman" w:hAnsi="Times New Roman"/>
          <w:sz w:val="24"/>
          <w:szCs w:val="24"/>
        </w:rPr>
        <w:t xml:space="preserve"> </w:t>
      </w:r>
      <w:r w:rsidR="00CC1321" w:rsidRPr="002B52BC">
        <w:rPr>
          <w:rFonts w:ascii="Times New Roman" w:hAnsi="Times New Roman"/>
          <w:sz w:val="24"/>
          <w:szCs w:val="24"/>
        </w:rPr>
        <w:t>Orbis</w:t>
      </w:r>
      <w:r w:rsidR="00A80A1C">
        <w:rPr>
          <w:rFonts w:ascii="Times New Roman" w:hAnsi="Times New Roman"/>
          <w:sz w:val="24"/>
          <w:szCs w:val="24"/>
        </w:rPr>
        <w:t>,</w:t>
      </w:r>
      <w:r w:rsidR="00CC1321" w:rsidRPr="002B52BC">
        <w:rPr>
          <w:rFonts w:ascii="Times New Roman" w:hAnsi="Times New Roman"/>
          <w:sz w:val="24"/>
          <w:szCs w:val="24"/>
        </w:rPr>
        <w:t xml:space="preserve"> </w:t>
      </w:r>
      <w:r w:rsidR="00A80A1C" w:rsidRPr="002B52BC">
        <w:rPr>
          <w:rFonts w:ascii="Times New Roman" w:hAnsi="Times New Roman"/>
          <w:sz w:val="24"/>
          <w:szCs w:val="24"/>
        </w:rPr>
        <w:t>Bankscope</w:t>
      </w:r>
      <w:r w:rsidR="00A80A1C">
        <w:rPr>
          <w:rFonts w:ascii="Times New Roman" w:hAnsi="Times New Roman"/>
          <w:sz w:val="24"/>
          <w:szCs w:val="24"/>
        </w:rPr>
        <w:t xml:space="preserve"> and</w:t>
      </w:r>
      <w:r w:rsidR="00A80A1C" w:rsidRPr="002B52BC">
        <w:rPr>
          <w:rFonts w:ascii="Times New Roman" w:hAnsi="Times New Roman"/>
          <w:sz w:val="24"/>
          <w:szCs w:val="24"/>
        </w:rPr>
        <w:t xml:space="preserve"> Amadeus</w:t>
      </w:r>
      <w:r w:rsidR="00CC1321" w:rsidRPr="002B52BC">
        <w:rPr>
          <w:rFonts w:ascii="Times New Roman" w:hAnsi="Times New Roman"/>
          <w:sz w:val="24"/>
          <w:szCs w:val="24"/>
        </w:rPr>
        <w:t xml:space="preserve"> for firm level</w:t>
      </w:r>
      <w:r w:rsidR="00A80A1C">
        <w:rPr>
          <w:rFonts w:ascii="Times New Roman" w:hAnsi="Times New Roman"/>
          <w:sz w:val="24"/>
          <w:szCs w:val="24"/>
        </w:rPr>
        <w:t>,</w:t>
      </w:r>
      <w:r w:rsidR="00CC1321" w:rsidRPr="002B52BC">
        <w:rPr>
          <w:rFonts w:ascii="Times New Roman" w:hAnsi="Times New Roman"/>
          <w:sz w:val="24"/>
          <w:szCs w:val="24"/>
        </w:rPr>
        <w:t xml:space="preserve"> bank specific </w:t>
      </w:r>
      <w:r w:rsidR="006829B2">
        <w:rPr>
          <w:rFonts w:ascii="Times New Roman" w:hAnsi="Times New Roman"/>
          <w:sz w:val="24"/>
          <w:szCs w:val="24"/>
        </w:rPr>
        <w:t>and bank-</w:t>
      </w:r>
      <w:r w:rsidR="00A80A1C">
        <w:rPr>
          <w:rFonts w:ascii="Times New Roman" w:hAnsi="Times New Roman"/>
          <w:sz w:val="24"/>
          <w:szCs w:val="24"/>
        </w:rPr>
        <w:t xml:space="preserve">firm </w:t>
      </w:r>
      <w:r w:rsidR="00CC1321" w:rsidRPr="002B52BC">
        <w:rPr>
          <w:rFonts w:ascii="Times New Roman" w:hAnsi="Times New Roman"/>
          <w:sz w:val="24"/>
          <w:szCs w:val="24"/>
        </w:rPr>
        <w:t xml:space="preserve">relationship </w:t>
      </w:r>
      <w:r w:rsidR="00A80A1C">
        <w:rPr>
          <w:rFonts w:ascii="Times New Roman" w:hAnsi="Times New Roman"/>
          <w:sz w:val="24"/>
          <w:szCs w:val="24"/>
        </w:rPr>
        <w:t>data respectively</w:t>
      </w:r>
      <w:r w:rsidR="00CC1321" w:rsidRPr="002B52BC">
        <w:rPr>
          <w:rFonts w:ascii="Times New Roman" w:hAnsi="Times New Roman"/>
          <w:sz w:val="24"/>
          <w:szCs w:val="24"/>
        </w:rPr>
        <w:t xml:space="preserve">, Compustat </w:t>
      </w:r>
      <w:r w:rsidR="00A80A1C">
        <w:rPr>
          <w:rFonts w:ascii="Times New Roman" w:hAnsi="Times New Roman"/>
          <w:sz w:val="24"/>
          <w:szCs w:val="24"/>
        </w:rPr>
        <w:t xml:space="preserve">is used for firm level </w:t>
      </w:r>
      <w:r w:rsidR="00CC1321" w:rsidRPr="002B52BC">
        <w:rPr>
          <w:rFonts w:ascii="Times New Roman" w:hAnsi="Times New Roman"/>
          <w:sz w:val="24"/>
          <w:szCs w:val="24"/>
        </w:rPr>
        <w:t>controls</w:t>
      </w:r>
      <w:r>
        <w:rPr>
          <w:rFonts w:ascii="Times New Roman" w:hAnsi="Times New Roman"/>
          <w:sz w:val="24"/>
          <w:szCs w:val="24"/>
        </w:rPr>
        <w:t xml:space="preserve">. </w:t>
      </w:r>
      <w:r w:rsidR="008D78F1">
        <w:rPr>
          <w:rFonts w:ascii="Times New Roman" w:hAnsi="Times New Roman"/>
          <w:sz w:val="24"/>
          <w:szCs w:val="24"/>
        </w:rPr>
        <w:t>CDS data were collected from</w:t>
      </w:r>
      <w:r w:rsidR="00CC1321" w:rsidRPr="001306C3">
        <w:rPr>
          <w:rFonts w:ascii="Times New Roman" w:hAnsi="Times New Roman" w:cs="Times New Roman"/>
          <w:sz w:val="24"/>
          <w:szCs w:val="24"/>
        </w:rPr>
        <w:t xml:space="preserve"> </w:t>
      </w:r>
      <w:r w:rsidR="001306C3" w:rsidRPr="001306C3">
        <w:rPr>
          <w:rFonts w:ascii="Times New Roman" w:hAnsi="Times New Roman" w:cs="Times New Roman"/>
          <w:sz w:val="24"/>
          <w:szCs w:val="24"/>
        </w:rPr>
        <w:t>D</w:t>
      </w:r>
      <w:r w:rsidR="001306C3" w:rsidRPr="001306C3">
        <w:rPr>
          <w:rFonts w:ascii="Times New Roman" w:hAnsi="Times New Roman" w:cs="Times New Roman"/>
          <w:color w:val="000000"/>
          <w:sz w:val="24"/>
          <w:szCs w:val="24"/>
        </w:rPr>
        <w:t xml:space="preserve">ataStream and SNL </w:t>
      </w:r>
      <w:r w:rsidR="00A80A1C">
        <w:rPr>
          <w:rFonts w:ascii="Times New Roman" w:hAnsi="Times New Roman" w:cs="Times New Roman"/>
          <w:color w:val="000000"/>
          <w:sz w:val="24"/>
          <w:szCs w:val="24"/>
        </w:rPr>
        <w:t>F</w:t>
      </w:r>
      <w:r w:rsidR="001306C3" w:rsidRPr="001306C3">
        <w:rPr>
          <w:rFonts w:ascii="Times New Roman" w:hAnsi="Times New Roman" w:cs="Times New Roman"/>
          <w:color w:val="000000"/>
          <w:sz w:val="24"/>
          <w:szCs w:val="24"/>
        </w:rPr>
        <w:t>inancial</w:t>
      </w:r>
      <w:r w:rsidR="00FF379D">
        <w:rPr>
          <w:rFonts w:ascii="Times New Roman" w:hAnsi="Times New Roman" w:cs="Times New Roman"/>
          <w:color w:val="000000"/>
          <w:sz w:val="24"/>
          <w:szCs w:val="24"/>
        </w:rPr>
        <w:t>.</w:t>
      </w:r>
      <w:r w:rsidR="00CC1321" w:rsidRPr="002B52BC">
        <w:rPr>
          <w:rFonts w:ascii="Times New Roman" w:hAnsi="Times New Roman"/>
          <w:sz w:val="24"/>
          <w:szCs w:val="24"/>
        </w:rPr>
        <w:t xml:space="preserve"> </w:t>
      </w:r>
      <w:r w:rsidR="008D78F1">
        <w:rPr>
          <w:rFonts w:ascii="Times New Roman" w:hAnsi="Times New Roman"/>
          <w:sz w:val="24"/>
          <w:szCs w:val="24"/>
        </w:rPr>
        <w:t xml:space="preserve">We </w:t>
      </w:r>
      <w:r w:rsidR="001306C3" w:rsidRPr="002B52BC">
        <w:rPr>
          <w:rFonts w:ascii="Times New Roman" w:hAnsi="Times New Roman"/>
          <w:sz w:val="24"/>
          <w:szCs w:val="24"/>
        </w:rPr>
        <w:t>ha</w:t>
      </w:r>
      <w:r w:rsidR="003B5434">
        <w:rPr>
          <w:rFonts w:ascii="Times New Roman" w:hAnsi="Times New Roman"/>
          <w:sz w:val="24"/>
          <w:szCs w:val="24"/>
        </w:rPr>
        <w:t>n</w:t>
      </w:r>
      <w:r w:rsidR="001306C3" w:rsidRPr="002B52BC">
        <w:rPr>
          <w:rFonts w:ascii="Times New Roman" w:hAnsi="Times New Roman"/>
          <w:sz w:val="24"/>
          <w:szCs w:val="24"/>
        </w:rPr>
        <w:t>d match the names of each bank listed in Amadeus with the names of the banks in Bankscope</w:t>
      </w:r>
      <w:r w:rsidR="0090121B">
        <w:rPr>
          <w:rFonts w:ascii="Times New Roman" w:hAnsi="Times New Roman"/>
          <w:sz w:val="24"/>
          <w:szCs w:val="24"/>
        </w:rPr>
        <w:t xml:space="preserve">. </w:t>
      </w:r>
      <w:r w:rsidR="00CC1321" w:rsidRPr="002B52BC">
        <w:rPr>
          <w:rFonts w:ascii="Times New Roman" w:hAnsi="Times New Roman"/>
          <w:sz w:val="24"/>
          <w:szCs w:val="24"/>
        </w:rPr>
        <w:t>After cleaning the data and constructing the</w:t>
      </w:r>
      <w:r w:rsidR="00A80A1C">
        <w:rPr>
          <w:rFonts w:ascii="Times New Roman" w:hAnsi="Times New Roman"/>
          <w:sz w:val="24"/>
          <w:szCs w:val="24"/>
        </w:rPr>
        <w:t xml:space="preserve"> </w:t>
      </w:r>
      <w:r w:rsidR="00CC1321" w:rsidRPr="002B52BC">
        <w:rPr>
          <w:rFonts w:ascii="Times New Roman" w:hAnsi="Times New Roman"/>
          <w:sz w:val="24"/>
          <w:szCs w:val="24"/>
        </w:rPr>
        <w:t xml:space="preserve">variables we are left with </w:t>
      </w:r>
      <w:r w:rsidR="00845B11" w:rsidRPr="002B52BC">
        <w:rPr>
          <w:rFonts w:ascii="Times New Roman" w:hAnsi="Times New Roman"/>
          <w:sz w:val="24"/>
          <w:szCs w:val="24"/>
        </w:rPr>
        <w:t>1644 firms</w:t>
      </w:r>
      <w:r w:rsidR="00CC1321" w:rsidRPr="002B52BC">
        <w:rPr>
          <w:rFonts w:ascii="Times New Roman" w:hAnsi="Times New Roman"/>
          <w:sz w:val="24"/>
          <w:szCs w:val="24"/>
        </w:rPr>
        <w:t xml:space="preserve"> in manufacturing and services sectors. </w:t>
      </w:r>
    </w:p>
    <w:p w:rsidR="00FF379D" w:rsidRPr="002B52BC" w:rsidRDefault="00FF379D" w:rsidP="00FF379D">
      <w:pPr>
        <w:pStyle w:val="HTMLPreformatted"/>
        <w:shd w:val="clear" w:color="auto" w:fill="FFFFFF"/>
        <w:jc w:val="both"/>
        <w:rPr>
          <w:rFonts w:ascii="Times New Roman" w:hAnsi="Times New Roman"/>
          <w:i/>
          <w:sz w:val="24"/>
          <w:szCs w:val="24"/>
        </w:rPr>
      </w:pPr>
    </w:p>
    <w:p w:rsidR="00CC1321" w:rsidRPr="002B52BC" w:rsidRDefault="004A38D4" w:rsidP="00AD7FE6">
      <w:pPr>
        <w:ind w:firstLine="720"/>
        <w:jc w:val="both"/>
        <w:rPr>
          <w:rFonts w:ascii="Times New Roman" w:hAnsi="Times New Roman"/>
          <w:b/>
          <w:i/>
          <w:sz w:val="24"/>
          <w:szCs w:val="24"/>
        </w:rPr>
      </w:pPr>
      <w:r w:rsidRPr="002B52BC">
        <w:rPr>
          <w:rFonts w:ascii="Times New Roman" w:hAnsi="Times New Roman"/>
          <w:b/>
          <w:sz w:val="24"/>
          <w:szCs w:val="24"/>
        </w:rPr>
        <w:t xml:space="preserve">2.2 </w:t>
      </w:r>
      <w:r w:rsidR="00CC1321" w:rsidRPr="002B52BC">
        <w:rPr>
          <w:rFonts w:ascii="Times New Roman" w:hAnsi="Times New Roman"/>
          <w:b/>
          <w:sz w:val="24"/>
          <w:szCs w:val="24"/>
        </w:rPr>
        <w:t>Econometric Methodology</w:t>
      </w:r>
    </w:p>
    <w:p w:rsidR="00CC1321" w:rsidRPr="002B52BC" w:rsidRDefault="00CC1321" w:rsidP="00AD7FE6">
      <w:pPr>
        <w:jc w:val="both"/>
        <w:rPr>
          <w:rFonts w:ascii="Times New Roman" w:hAnsi="Times New Roman"/>
          <w:i/>
          <w:sz w:val="24"/>
          <w:szCs w:val="24"/>
        </w:rPr>
      </w:pPr>
      <w:r w:rsidRPr="002B52BC">
        <w:rPr>
          <w:rFonts w:ascii="Times New Roman" w:hAnsi="Times New Roman"/>
          <w:sz w:val="24"/>
          <w:szCs w:val="24"/>
        </w:rPr>
        <w:t>Our basic specification links firms’ changes in capital expenditure to its determinants, including bank distress. We use the following econometric model:</w:t>
      </w:r>
    </w:p>
    <w:p w:rsidR="002836AE" w:rsidRDefault="002836AE" w:rsidP="002836AE">
      <w:pPr>
        <w:jc w:val="both"/>
        <w:rPr>
          <w:rFonts w:ascii="Times New Roman" w:hAnsi="Times New Roman"/>
          <w:i/>
          <w:sz w:val="24"/>
          <w:szCs w:val="24"/>
        </w:rPr>
      </w:pPr>
    </w:p>
    <w:p w:rsidR="002836AE" w:rsidRPr="002B52BC" w:rsidRDefault="00DB1516" w:rsidP="002836AE">
      <w:pPr>
        <w:jc w:val="both"/>
        <w:rPr>
          <w:rFonts w:ascii="Times New Roman" w:hAnsi="Times New Roman"/>
          <w:i/>
          <w:sz w:val="24"/>
          <w:szCs w:val="24"/>
          <w:vertAlign w:val="subscript"/>
        </w:rPr>
      </w:pPr>
      <w:r>
        <w:rPr>
          <w:rFonts w:ascii="Times New Roman" w:hAnsi="Times New Roman"/>
          <w:i/>
          <w:sz w:val="24"/>
          <w:szCs w:val="24"/>
        </w:rPr>
        <w:t>(</w:t>
      </w:r>
      <w:r w:rsidR="002836AE" w:rsidRPr="002B52BC">
        <w:rPr>
          <w:rFonts w:ascii="Times New Roman" w:hAnsi="Times New Roman"/>
          <w:i/>
          <w:sz w:val="24"/>
          <w:szCs w:val="24"/>
        </w:rPr>
        <w:t>CapExp/Toas</w:t>
      </w:r>
      <w:r w:rsidR="002836AE">
        <w:rPr>
          <w:rFonts w:ascii="Times New Roman" w:hAnsi="Times New Roman"/>
          <w:i/>
          <w:sz w:val="24"/>
          <w:szCs w:val="24"/>
        </w:rPr>
        <w:t>)</w:t>
      </w:r>
      <w:r w:rsidR="002836AE">
        <w:rPr>
          <w:rFonts w:ascii="Times New Roman" w:hAnsi="Times New Roman"/>
          <w:i/>
          <w:sz w:val="24"/>
          <w:szCs w:val="24"/>
          <w:vertAlign w:val="subscript"/>
        </w:rPr>
        <w:t>ijt</w:t>
      </w:r>
      <w:r w:rsidR="002836AE" w:rsidRPr="002B52BC">
        <w:rPr>
          <w:rFonts w:ascii="Times New Roman" w:hAnsi="Times New Roman"/>
          <w:i/>
          <w:sz w:val="24"/>
          <w:szCs w:val="24"/>
        </w:rPr>
        <w:t xml:space="preserve"> </w:t>
      </w:r>
      <w:r>
        <w:rPr>
          <w:rFonts w:ascii="Times New Roman" w:hAnsi="Times New Roman"/>
          <w:i/>
          <w:sz w:val="24"/>
          <w:szCs w:val="24"/>
        </w:rPr>
        <w:t>- (</w:t>
      </w:r>
      <w:r w:rsidRPr="002B52BC">
        <w:rPr>
          <w:rFonts w:ascii="Times New Roman" w:hAnsi="Times New Roman"/>
          <w:i/>
          <w:sz w:val="24"/>
          <w:szCs w:val="24"/>
        </w:rPr>
        <w:t>CapExp/Toas</w:t>
      </w:r>
      <w:r>
        <w:rPr>
          <w:rFonts w:ascii="Times New Roman" w:hAnsi="Times New Roman"/>
          <w:i/>
          <w:sz w:val="24"/>
          <w:szCs w:val="24"/>
        </w:rPr>
        <w:t>)</w:t>
      </w:r>
      <w:r>
        <w:rPr>
          <w:rFonts w:ascii="Times New Roman" w:hAnsi="Times New Roman"/>
          <w:i/>
          <w:sz w:val="24"/>
          <w:szCs w:val="24"/>
          <w:vertAlign w:val="subscript"/>
        </w:rPr>
        <w:t>ijt-1</w:t>
      </w:r>
      <w:r>
        <w:rPr>
          <w:rFonts w:ascii="Times New Roman" w:hAnsi="Times New Roman"/>
          <w:i/>
          <w:sz w:val="24"/>
          <w:szCs w:val="24"/>
        </w:rPr>
        <w:t xml:space="preserve"> </w:t>
      </w:r>
      <w:r w:rsidR="002836AE" w:rsidRPr="002B52BC">
        <w:rPr>
          <w:rFonts w:ascii="Times New Roman" w:hAnsi="Times New Roman"/>
          <w:i/>
          <w:sz w:val="24"/>
          <w:szCs w:val="24"/>
        </w:rPr>
        <w:t>= β</w:t>
      </w:r>
      <w:r w:rsidR="002836AE">
        <w:rPr>
          <w:rFonts w:ascii="Times New Roman" w:hAnsi="Times New Roman"/>
          <w:i/>
          <w:sz w:val="24"/>
          <w:szCs w:val="24"/>
          <w:vertAlign w:val="subscript"/>
        </w:rPr>
        <w:t>1</w:t>
      </w:r>
      <w:r w:rsidR="002836AE" w:rsidRPr="002B52BC">
        <w:rPr>
          <w:rFonts w:ascii="Times New Roman" w:hAnsi="Times New Roman"/>
          <w:i/>
          <w:sz w:val="24"/>
          <w:szCs w:val="24"/>
        </w:rPr>
        <w:t>Age</w:t>
      </w:r>
      <w:r w:rsidR="002836AE" w:rsidRPr="002B52BC">
        <w:rPr>
          <w:rFonts w:ascii="Times New Roman" w:hAnsi="Times New Roman"/>
          <w:i/>
          <w:sz w:val="24"/>
          <w:szCs w:val="24"/>
          <w:vertAlign w:val="subscript"/>
        </w:rPr>
        <w:t>it</w:t>
      </w:r>
      <w:r w:rsidR="002836AE" w:rsidRPr="002B52BC">
        <w:rPr>
          <w:rFonts w:ascii="Times New Roman" w:hAnsi="Times New Roman"/>
          <w:i/>
          <w:sz w:val="24"/>
          <w:szCs w:val="24"/>
        </w:rPr>
        <w:t xml:space="preserve"> + β</w:t>
      </w:r>
      <w:r w:rsidR="002836AE">
        <w:rPr>
          <w:rFonts w:ascii="Times New Roman" w:hAnsi="Times New Roman"/>
          <w:i/>
          <w:sz w:val="24"/>
          <w:szCs w:val="24"/>
          <w:vertAlign w:val="subscript"/>
        </w:rPr>
        <w:t>2</w:t>
      </w:r>
      <w:r w:rsidR="002836AE" w:rsidRPr="002B52BC">
        <w:rPr>
          <w:rFonts w:ascii="Times New Roman" w:hAnsi="Times New Roman"/>
          <w:i/>
          <w:sz w:val="24"/>
          <w:szCs w:val="24"/>
        </w:rPr>
        <w:t>Size</w:t>
      </w:r>
      <w:r w:rsidR="002836AE" w:rsidRPr="002B52BC">
        <w:rPr>
          <w:rFonts w:ascii="Times New Roman" w:hAnsi="Times New Roman"/>
          <w:i/>
          <w:sz w:val="24"/>
          <w:szCs w:val="24"/>
          <w:vertAlign w:val="subscript"/>
        </w:rPr>
        <w:t>it</w:t>
      </w:r>
      <w:r w:rsidR="002836AE" w:rsidRPr="002B52BC">
        <w:rPr>
          <w:rFonts w:ascii="Times New Roman" w:hAnsi="Times New Roman"/>
          <w:i/>
          <w:sz w:val="24"/>
          <w:szCs w:val="24"/>
        </w:rPr>
        <w:t xml:space="preserve"> + β</w:t>
      </w:r>
      <w:r w:rsidR="002836AE">
        <w:rPr>
          <w:rFonts w:ascii="Times New Roman" w:hAnsi="Times New Roman"/>
          <w:i/>
          <w:sz w:val="24"/>
          <w:szCs w:val="24"/>
          <w:vertAlign w:val="subscript"/>
        </w:rPr>
        <w:t>3</w:t>
      </w:r>
      <w:r w:rsidR="002836AE" w:rsidRPr="002B52BC">
        <w:rPr>
          <w:rFonts w:ascii="Times New Roman" w:hAnsi="Times New Roman"/>
          <w:i/>
          <w:sz w:val="24"/>
          <w:szCs w:val="24"/>
        </w:rPr>
        <w:t>Cash</w:t>
      </w:r>
      <w:r w:rsidR="002836AE" w:rsidRPr="002B52BC">
        <w:rPr>
          <w:rFonts w:ascii="Times New Roman" w:hAnsi="Times New Roman"/>
          <w:i/>
          <w:sz w:val="24"/>
          <w:szCs w:val="24"/>
          <w:vertAlign w:val="subscript"/>
        </w:rPr>
        <w:t>it</w:t>
      </w:r>
      <w:r w:rsidR="002836AE" w:rsidRPr="002B52BC">
        <w:rPr>
          <w:rFonts w:ascii="Times New Roman" w:hAnsi="Times New Roman"/>
          <w:i/>
          <w:sz w:val="24"/>
          <w:szCs w:val="24"/>
        </w:rPr>
        <w:t>/Toas</w:t>
      </w:r>
      <w:r w:rsidR="002836AE" w:rsidRPr="002B52BC">
        <w:rPr>
          <w:rFonts w:ascii="Times New Roman" w:hAnsi="Times New Roman"/>
          <w:i/>
          <w:sz w:val="24"/>
          <w:szCs w:val="24"/>
          <w:vertAlign w:val="subscript"/>
        </w:rPr>
        <w:t>it</w:t>
      </w:r>
      <w:r w:rsidR="002836AE" w:rsidRPr="002B52BC">
        <w:rPr>
          <w:rFonts w:ascii="Times New Roman" w:hAnsi="Times New Roman"/>
          <w:i/>
          <w:sz w:val="24"/>
          <w:szCs w:val="24"/>
        </w:rPr>
        <w:t xml:space="preserve"> + β</w:t>
      </w:r>
      <w:r w:rsidR="002836AE">
        <w:rPr>
          <w:rFonts w:ascii="Times New Roman" w:hAnsi="Times New Roman"/>
          <w:i/>
          <w:sz w:val="24"/>
          <w:szCs w:val="24"/>
          <w:vertAlign w:val="subscript"/>
        </w:rPr>
        <w:t>4</w:t>
      </w:r>
      <w:r w:rsidR="002836AE" w:rsidRPr="002B52BC">
        <w:rPr>
          <w:rFonts w:ascii="Times New Roman" w:hAnsi="Times New Roman"/>
          <w:i/>
          <w:sz w:val="24"/>
          <w:szCs w:val="24"/>
        </w:rPr>
        <w:t>Bank Distress</w:t>
      </w:r>
      <w:r w:rsidR="002836AE" w:rsidRPr="002B52BC">
        <w:rPr>
          <w:rFonts w:ascii="Times New Roman" w:hAnsi="Times New Roman"/>
          <w:i/>
          <w:sz w:val="24"/>
          <w:szCs w:val="24"/>
          <w:vertAlign w:val="subscript"/>
        </w:rPr>
        <w:t>kt-2</w:t>
      </w:r>
      <w:r w:rsidR="002836AE" w:rsidRPr="002B52BC">
        <w:rPr>
          <w:rFonts w:ascii="Times New Roman" w:hAnsi="Times New Roman"/>
          <w:i/>
          <w:sz w:val="24"/>
          <w:szCs w:val="24"/>
        </w:rPr>
        <w:t xml:space="preserve"> + β</w:t>
      </w:r>
      <w:r w:rsidR="002836AE" w:rsidRPr="002B52BC">
        <w:rPr>
          <w:rFonts w:ascii="Times New Roman" w:hAnsi="Times New Roman"/>
          <w:i/>
          <w:sz w:val="24"/>
          <w:szCs w:val="24"/>
          <w:vertAlign w:val="subscript"/>
        </w:rPr>
        <w:t xml:space="preserve">5 </w:t>
      </w:r>
      <w:r w:rsidR="002836AE" w:rsidRPr="002B52BC">
        <w:rPr>
          <w:rFonts w:ascii="Times New Roman" w:hAnsi="Times New Roman"/>
          <w:i/>
          <w:sz w:val="24"/>
          <w:szCs w:val="24"/>
        </w:rPr>
        <w:t>ExternalFinanceDependance</w:t>
      </w:r>
      <w:r w:rsidR="002836AE" w:rsidRPr="002B52BC">
        <w:rPr>
          <w:rFonts w:ascii="Times New Roman" w:hAnsi="Times New Roman"/>
          <w:i/>
          <w:sz w:val="24"/>
          <w:szCs w:val="24"/>
          <w:vertAlign w:val="subscript"/>
        </w:rPr>
        <w:t>j</w:t>
      </w:r>
      <w:r w:rsidR="002836AE" w:rsidRPr="002B52BC">
        <w:rPr>
          <w:rFonts w:ascii="Times New Roman" w:hAnsi="Times New Roman"/>
          <w:i/>
          <w:sz w:val="24"/>
          <w:szCs w:val="24"/>
        </w:rPr>
        <w:t xml:space="preserve"> + β</w:t>
      </w:r>
      <w:r w:rsidR="002836AE" w:rsidRPr="002B52BC">
        <w:rPr>
          <w:rFonts w:ascii="Times New Roman" w:hAnsi="Times New Roman"/>
          <w:i/>
          <w:sz w:val="24"/>
          <w:szCs w:val="24"/>
          <w:vertAlign w:val="subscript"/>
        </w:rPr>
        <w:t xml:space="preserve">6 </w:t>
      </w:r>
      <w:r w:rsidR="002836AE" w:rsidRPr="002B52BC">
        <w:rPr>
          <w:rFonts w:ascii="Times New Roman" w:hAnsi="Times New Roman"/>
          <w:i/>
          <w:sz w:val="24"/>
          <w:szCs w:val="24"/>
        </w:rPr>
        <w:t>BusinessCycleDependence</w:t>
      </w:r>
      <w:r w:rsidR="002836AE" w:rsidRPr="002B52BC">
        <w:rPr>
          <w:rFonts w:ascii="Times New Roman" w:hAnsi="Times New Roman"/>
          <w:i/>
          <w:sz w:val="24"/>
          <w:szCs w:val="24"/>
          <w:vertAlign w:val="subscript"/>
        </w:rPr>
        <w:t>j</w:t>
      </w:r>
      <w:r w:rsidR="002836AE" w:rsidRPr="002B52BC">
        <w:rPr>
          <w:rFonts w:ascii="Times New Roman" w:hAnsi="Times New Roman"/>
          <w:i/>
          <w:sz w:val="24"/>
          <w:szCs w:val="24"/>
        </w:rPr>
        <w:t xml:space="preserve"> + β</w:t>
      </w:r>
      <w:r w:rsidR="002836AE" w:rsidRPr="002B52BC">
        <w:rPr>
          <w:rFonts w:ascii="Times New Roman" w:hAnsi="Times New Roman"/>
          <w:i/>
          <w:sz w:val="24"/>
          <w:szCs w:val="24"/>
          <w:vertAlign w:val="subscript"/>
        </w:rPr>
        <w:t xml:space="preserve">7 </w:t>
      </w:r>
      <w:r w:rsidR="002836AE" w:rsidRPr="002B52BC">
        <w:rPr>
          <w:rFonts w:ascii="Times New Roman" w:hAnsi="Times New Roman"/>
          <w:i/>
          <w:sz w:val="24"/>
          <w:szCs w:val="24"/>
        </w:rPr>
        <w:t>TradeDependence</w:t>
      </w:r>
      <w:r w:rsidR="002836AE" w:rsidRPr="002B52BC">
        <w:rPr>
          <w:rFonts w:ascii="Times New Roman" w:hAnsi="Times New Roman"/>
          <w:i/>
          <w:sz w:val="24"/>
          <w:szCs w:val="24"/>
          <w:vertAlign w:val="subscript"/>
        </w:rPr>
        <w:t>j</w:t>
      </w:r>
      <w:r w:rsidR="002836AE" w:rsidRPr="002B52BC">
        <w:rPr>
          <w:rFonts w:ascii="Times New Roman" w:hAnsi="Times New Roman"/>
          <w:i/>
          <w:sz w:val="24"/>
          <w:szCs w:val="24"/>
        </w:rPr>
        <w:t xml:space="preserve"> +</w:t>
      </w:r>
      <w:r w:rsidR="002836AE">
        <w:rPr>
          <w:rFonts w:ascii="Times New Roman" w:hAnsi="Times New Roman"/>
          <w:i/>
          <w:sz w:val="24"/>
          <w:szCs w:val="24"/>
        </w:rPr>
        <w:t xml:space="preserve"> </w:t>
      </w:r>
      <w:r w:rsidR="002836AE" w:rsidRPr="002B52BC">
        <w:rPr>
          <w:rFonts w:ascii="Times New Roman" w:hAnsi="Times New Roman"/>
          <w:i/>
          <w:sz w:val="24"/>
          <w:szCs w:val="24"/>
        </w:rPr>
        <w:t>π</w:t>
      </w:r>
      <w:r w:rsidR="002836AE" w:rsidRPr="002B52BC">
        <w:rPr>
          <w:rFonts w:ascii="Times New Roman" w:hAnsi="Times New Roman"/>
          <w:i/>
          <w:sz w:val="24"/>
          <w:szCs w:val="24"/>
          <w:vertAlign w:val="subscript"/>
        </w:rPr>
        <w:t>t</w:t>
      </w:r>
      <w:r w:rsidR="002836AE" w:rsidRPr="002B52BC">
        <w:rPr>
          <w:rFonts w:ascii="Times New Roman" w:hAnsi="Times New Roman"/>
          <w:i/>
          <w:sz w:val="24"/>
          <w:szCs w:val="24"/>
        </w:rPr>
        <w:t xml:space="preserve"> </w:t>
      </w:r>
      <w:r w:rsidR="002836AE" w:rsidRPr="002B52BC">
        <w:rPr>
          <w:rFonts w:ascii="Times New Roman" w:hAnsi="Times New Roman"/>
          <w:i/>
          <w:sz w:val="24"/>
          <w:szCs w:val="24"/>
          <w:vertAlign w:val="subscript"/>
        </w:rPr>
        <w:t xml:space="preserve"> </w:t>
      </w:r>
      <w:r w:rsidR="002836AE" w:rsidRPr="00C4799D">
        <w:rPr>
          <w:rFonts w:ascii="Times New Roman" w:hAnsi="Times New Roman"/>
          <w:i/>
          <w:sz w:val="24"/>
          <w:szCs w:val="24"/>
        </w:rPr>
        <w:t>+</w:t>
      </w:r>
      <w:r w:rsidR="002836AE" w:rsidRPr="002B52BC">
        <w:rPr>
          <w:rFonts w:ascii="Times New Roman" w:hAnsi="Times New Roman"/>
          <w:i/>
          <w:sz w:val="24"/>
          <w:szCs w:val="24"/>
          <w:vertAlign w:val="subscript"/>
        </w:rPr>
        <w:t xml:space="preserve"> </w:t>
      </w:r>
      <w:r w:rsidR="002836AE" w:rsidRPr="00C4799D">
        <w:rPr>
          <w:rFonts w:ascii="Times New Roman" w:hAnsi="Times New Roman"/>
          <w:i/>
          <w:sz w:val="24"/>
          <w:szCs w:val="24"/>
        </w:rPr>
        <w:t>ε</w:t>
      </w:r>
      <w:r w:rsidR="002836AE" w:rsidRPr="002B52BC">
        <w:rPr>
          <w:rFonts w:ascii="Times New Roman" w:hAnsi="Times New Roman"/>
          <w:i/>
          <w:sz w:val="24"/>
          <w:szCs w:val="24"/>
          <w:vertAlign w:val="subscript"/>
        </w:rPr>
        <w:t>ijt</w:t>
      </w:r>
    </w:p>
    <w:p w:rsidR="00CC1321" w:rsidRPr="002B52BC" w:rsidRDefault="00CC1321" w:rsidP="00AD7FE6">
      <w:pPr>
        <w:jc w:val="both"/>
        <w:rPr>
          <w:rFonts w:ascii="Times New Roman" w:hAnsi="Times New Roman"/>
          <w:i/>
          <w:sz w:val="24"/>
          <w:szCs w:val="24"/>
        </w:rPr>
      </w:pPr>
    </w:p>
    <w:p w:rsidR="00CC1321" w:rsidRPr="002B52BC" w:rsidRDefault="00CC1321" w:rsidP="00AD7FE6">
      <w:pPr>
        <w:jc w:val="both"/>
        <w:rPr>
          <w:rFonts w:ascii="Times New Roman" w:hAnsi="Times New Roman"/>
          <w:sz w:val="24"/>
          <w:szCs w:val="24"/>
        </w:rPr>
      </w:pPr>
      <w:r w:rsidRPr="002B52BC">
        <w:rPr>
          <w:rFonts w:ascii="Times New Roman" w:hAnsi="Times New Roman"/>
          <w:sz w:val="24"/>
          <w:szCs w:val="24"/>
        </w:rPr>
        <w:t>where the dependent variable is the change in firms’ capital expenditure divided by to</w:t>
      </w:r>
      <w:r w:rsidR="00DB1516">
        <w:rPr>
          <w:rFonts w:ascii="Times New Roman" w:hAnsi="Times New Roman"/>
          <w:sz w:val="24"/>
          <w:szCs w:val="24"/>
        </w:rPr>
        <w:t>tal assets. We follow Claessens et al</w:t>
      </w:r>
      <w:r w:rsidRPr="002B52BC">
        <w:rPr>
          <w:rFonts w:ascii="Times New Roman" w:hAnsi="Times New Roman"/>
          <w:sz w:val="24"/>
          <w:szCs w:val="24"/>
        </w:rPr>
        <w:t xml:space="preserve"> (2012) and use change in capital expenditure in order to account for other firm characteristics, such as differences in profitability before the crisis. </w:t>
      </w:r>
      <w:r w:rsidRPr="00C4799D">
        <w:rPr>
          <w:rFonts w:ascii="Times New Roman" w:hAnsi="Times New Roman"/>
          <w:sz w:val="24"/>
          <w:szCs w:val="24"/>
        </w:rPr>
        <w:t xml:space="preserve">We </w:t>
      </w:r>
      <w:r w:rsidR="00A80A1C">
        <w:rPr>
          <w:rFonts w:ascii="Times New Roman" w:hAnsi="Times New Roman"/>
          <w:sz w:val="24"/>
          <w:szCs w:val="24"/>
        </w:rPr>
        <w:t>also</w:t>
      </w:r>
      <w:r w:rsidR="001F6501">
        <w:rPr>
          <w:rFonts w:ascii="Times New Roman" w:hAnsi="Times New Roman"/>
          <w:sz w:val="24"/>
          <w:szCs w:val="24"/>
        </w:rPr>
        <w:t xml:space="preserve"> account for the age, </w:t>
      </w:r>
      <w:r w:rsidRPr="002B52BC">
        <w:rPr>
          <w:rFonts w:ascii="Times New Roman" w:hAnsi="Times New Roman"/>
          <w:sz w:val="24"/>
          <w:szCs w:val="24"/>
        </w:rPr>
        <w:t xml:space="preserve">the size of the firm, </w:t>
      </w:r>
      <w:r w:rsidR="001F6501">
        <w:rPr>
          <w:rFonts w:ascii="Times New Roman" w:hAnsi="Times New Roman"/>
          <w:sz w:val="24"/>
          <w:szCs w:val="24"/>
        </w:rPr>
        <w:t xml:space="preserve">and </w:t>
      </w:r>
      <w:r w:rsidRPr="002B52BC">
        <w:rPr>
          <w:rFonts w:ascii="Times New Roman" w:hAnsi="Times New Roman"/>
          <w:sz w:val="24"/>
          <w:szCs w:val="24"/>
        </w:rPr>
        <w:t>cash holdings/total assets.</w:t>
      </w:r>
      <w:r w:rsidRPr="002B52BC">
        <w:rPr>
          <w:rStyle w:val="FootnoteReference"/>
          <w:rFonts w:ascii="Times New Roman" w:hAnsi="Times New Roman"/>
          <w:sz w:val="24"/>
          <w:szCs w:val="24"/>
        </w:rPr>
        <w:footnoteReference w:id="2"/>
      </w:r>
      <w:r w:rsidRPr="002B52BC">
        <w:rPr>
          <w:rFonts w:ascii="Times New Roman" w:hAnsi="Times New Roman"/>
          <w:sz w:val="24"/>
          <w:szCs w:val="24"/>
        </w:rPr>
        <w:t xml:space="preserve"> </w:t>
      </w:r>
      <w:r w:rsidR="001F6501">
        <w:rPr>
          <w:rFonts w:ascii="Times New Roman" w:hAnsi="Times New Roman"/>
          <w:sz w:val="24"/>
          <w:szCs w:val="24"/>
        </w:rPr>
        <w:t>F</w:t>
      </w:r>
      <w:r w:rsidRPr="002B52BC">
        <w:rPr>
          <w:rFonts w:ascii="Times New Roman" w:hAnsi="Times New Roman"/>
          <w:sz w:val="24"/>
          <w:szCs w:val="24"/>
        </w:rPr>
        <w:t xml:space="preserve">irms’ age </w:t>
      </w:r>
      <w:r w:rsidR="001F6501">
        <w:rPr>
          <w:rFonts w:ascii="Times New Roman" w:hAnsi="Times New Roman"/>
          <w:sz w:val="24"/>
          <w:szCs w:val="24"/>
        </w:rPr>
        <w:t>is</w:t>
      </w:r>
      <w:r w:rsidRPr="002B52BC">
        <w:rPr>
          <w:rFonts w:ascii="Times New Roman" w:hAnsi="Times New Roman"/>
          <w:sz w:val="24"/>
          <w:szCs w:val="24"/>
        </w:rPr>
        <w:t xml:space="preserve"> the difference between current year and the year the firm was established. </w:t>
      </w:r>
      <w:r w:rsidR="001F6501">
        <w:rPr>
          <w:rFonts w:ascii="Times New Roman" w:hAnsi="Times New Roman"/>
          <w:sz w:val="24"/>
          <w:szCs w:val="24"/>
        </w:rPr>
        <w:t>F</w:t>
      </w:r>
      <w:r w:rsidRPr="002B52BC">
        <w:rPr>
          <w:rFonts w:ascii="Times New Roman" w:hAnsi="Times New Roman"/>
          <w:sz w:val="24"/>
          <w:szCs w:val="24"/>
        </w:rPr>
        <w:t xml:space="preserve">irms’ size </w:t>
      </w:r>
      <w:r w:rsidR="001F6501">
        <w:rPr>
          <w:rFonts w:ascii="Times New Roman" w:hAnsi="Times New Roman"/>
          <w:sz w:val="24"/>
          <w:szCs w:val="24"/>
        </w:rPr>
        <w:t xml:space="preserve">is proxied by </w:t>
      </w:r>
      <w:r w:rsidRPr="002B52BC">
        <w:rPr>
          <w:rFonts w:ascii="Times New Roman" w:hAnsi="Times New Roman"/>
          <w:sz w:val="24"/>
          <w:szCs w:val="24"/>
        </w:rPr>
        <w:t xml:space="preserve">the logarithm of total assets. </w:t>
      </w:r>
    </w:p>
    <w:p w:rsidR="00CC1321" w:rsidRPr="002B52BC" w:rsidRDefault="00CC1321" w:rsidP="00AD7FE6">
      <w:pPr>
        <w:jc w:val="both"/>
        <w:rPr>
          <w:rFonts w:ascii="Times New Roman" w:hAnsi="Times New Roman"/>
          <w:sz w:val="24"/>
          <w:szCs w:val="24"/>
        </w:rPr>
      </w:pPr>
      <w:r w:rsidRPr="002B52BC">
        <w:rPr>
          <w:rFonts w:ascii="Times New Roman" w:hAnsi="Times New Roman"/>
          <w:sz w:val="24"/>
          <w:szCs w:val="24"/>
        </w:rPr>
        <w:t xml:space="preserve">We use </w:t>
      </w:r>
      <w:r w:rsidR="00D112A9">
        <w:rPr>
          <w:rFonts w:ascii="Times New Roman" w:hAnsi="Times New Roman"/>
          <w:sz w:val="24"/>
          <w:szCs w:val="24"/>
        </w:rPr>
        <w:t xml:space="preserve">monthly </w:t>
      </w:r>
      <w:r w:rsidR="00B142D3">
        <w:rPr>
          <w:rFonts w:ascii="Times New Roman" w:hAnsi="Times New Roman"/>
          <w:sz w:val="24"/>
          <w:szCs w:val="24"/>
        </w:rPr>
        <w:t>5-</w:t>
      </w:r>
      <w:r w:rsidR="008B2DDD">
        <w:rPr>
          <w:rFonts w:ascii="Times New Roman" w:hAnsi="Times New Roman"/>
          <w:sz w:val="24"/>
          <w:szCs w:val="24"/>
        </w:rPr>
        <w:t xml:space="preserve">year Senior debt </w:t>
      </w:r>
      <w:r w:rsidRPr="002B52BC">
        <w:rPr>
          <w:rFonts w:ascii="Times New Roman" w:hAnsi="Times New Roman"/>
          <w:sz w:val="24"/>
          <w:szCs w:val="24"/>
        </w:rPr>
        <w:t>CDS</w:t>
      </w:r>
      <w:r w:rsidR="001D136E">
        <w:rPr>
          <w:rFonts w:ascii="Times New Roman" w:hAnsi="Times New Roman"/>
          <w:sz w:val="24"/>
          <w:szCs w:val="24"/>
        </w:rPr>
        <w:t xml:space="preserve"> spread data </w:t>
      </w:r>
      <w:r w:rsidR="0090121B">
        <w:rPr>
          <w:rFonts w:ascii="Times New Roman" w:hAnsi="Times New Roman"/>
          <w:sz w:val="24"/>
          <w:szCs w:val="24"/>
        </w:rPr>
        <w:t xml:space="preserve">to proxy </w:t>
      </w:r>
      <w:r w:rsidR="00210A75">
        <w:rPr>
          <w:rFonts w:ascii="Times New Roman" w:hAnsi="Times New Roman"/>
          <w:sz w:val="24"/>
          <w:szCs w:val="24"/>
        </w:rPr>
        <w:t xml:space="preserve">for </w:t>
      </w:r>
      <w:r w:rsidR="0090121B">
        <w:rPr>
          <w:rFonts w:ascii="Times New Roman" w:hAnsi="Times New Roman"/>
          <w:sz w:val="24"/>
          <w:szCs w:val="24"/>
        </w:rPr>
        <w:t>bank distress</w:t>
      </w:r>
      <w:r w:rsidR="003F660F">
        <w:rPr>
          <w:rFonts w:ascii="Times New Roman" w:hAnsi="Times New Roman"/>
          <w:sz w:val="24"/>
          <w:szCs w:val="24"/>
        </w:rPr>
        <w:t xml:space="preserve"> </w:t>
      </w:r>
      <w:r w:rsidR="001D136E">
        <w:rPr>
          <w:rFonts w:ascii="Times New Roman" w:hAnsi="Times New Roman"/>
          <w:sz w:val="24"/>
          <w:szCs w:val="24"/>
        </w:rPr>
        <w:t xml:space="preserve">using the 5 year Tenor for Senior debt </w:t>
      </w:r>
      <w:r w:rsidR="007656EF">
        <w:rPr>
          <w:rFonts w:ascii="Times New Roman" w:hAnsi="Times New Roman"/>
          <w:sz w:val="24"/>
          <w:szCs w:val="24"/>
        </w:rPr>
        <w:t>CDS</w:t>
      </w:r>
      <w:r w:rsidRPr="002B52BC">
        <w:rPr>
          <w:rFonts w:ascii="Times New Roman" w:hAnsi="Times New Roman"/>
          <w:sz w:val="24"/>
          <w:szCs w:val="24"/>
        </w:rPr>
        <w:t xml:space="preserve">. </w:t>
      </w:r>
      <w:r w:rsidR="00624AFD">
        <w:rPr>
          <w:rFonts w:ascii="Times New Roman" w:hAnsi="Times New Roman"/>
          <w:sz w:val="24"/>
          <w:szCs w:val="24"/>
        </w:rPr>
        <w:t xml:space="preserve">A </w:t>
      </w:r>
      <w:r w:rsidR="00AD7FE6" w:rsidRPr="002B52BC">
        <w:rPr>
          <w:rFonts w:ascii="Times New Roman" w:eastAsia="Times New Roman" w:hAnsi="Times New Roman"/>
          <w:sz w:val="24"/>
          <w:szCs w:val="24"/>
          <w:lang w:val="en-GB"/>
        </w:rPr>
        <w:t>higher spread implies a greater risk of default.</w:t>
      </w:r>
      <w:r w:rsidR="00D112A9">
        <w:rPr>
          <w:rFonts w:ascii="Times New Roman" w:hAnsi="Times New Roman"/>
          <w:sz w:val="24"/>
          <w:szCs w:val="24"/>
        </w:rPr>
        <w:t xml:space="preserve"> </w:t>
      </w:r>
      <w:r w:rsidRPr="002B52BC">
        <w:rPr>
          <w:rFonts w:ascii="Times New Roman" w:hAnsi="Times New Roman"/>
          <w:sz w:val="24"/>
          <w:szCs w:val="24"/>
        </w:rPr>
        <w:t xml:space="preserve">Since banks distress may not affect </w:t>
      </w:r>
      <w:r w:rsidR="00D112A9">
        <w:rPr>
          <w:rFonts w:ascii="Times New Roman" w:hAnsi="Times New Roman"/>
          <w:sz w:val="24"/>
          <w:szCs w:val="24"/>
        </w:rPr>
        <w:t xml:space="preserve">supply to finance </w:t>
      </w:r>
      <w:r w:rsidRPr="002B52BC">
        <w:rPr>
          <w:rFonts w:ascii="Times New Roman" w:hAnsi="Times New Roman"/>
          <w:sz w:val="24"/>
          <w:szCs w:val="24"/>
        </w:rPr>
        <w:t>firms’ investments immediately</w:t>
      </w:r>
      <w:r w:rsidR="003F660F">
        <w:rPr>
          <w:rFonts w:ascii="Times New Roman" w:hAnsi="Times New Roman"/>
          <w:sz w:val="24"/>
          <w:szCs w:val="24"/>
        </w:rPr>
        <w:t>,</w:t>
      </w:r>
      <w:r w:rsidRPr="002B52BC">
        <w:rPr>
          <w:rFonts w:ascii="Times New Roman" w:hAnsi="Times New Roman"/>
          <w:sz w:val="24"/>
          <w:szCs w:val="24"/>
        </w:rPr>
        <w:t xml:space="preserve"> we lag the bank distress variable in all regressions.</w:t>
      </w:r>
      <w:r w:rsidR="00C64D0B" w:rsidRPr="002B52BC">
        <w:rPr>
          <w:rFonts w:ascii="Times New Roman" w:hAnsi="Times New Roman"/>
          <w:sz w:val="24"/>
          <w:szCs w:val="24"/>
        </w:rPr>
        <w:t xml:space="preserve"> This also corrects for possible </w:t>
      </w:r>
      <w:r w:rsidR="00D112A9">
        <w:rPr>
          <w:rFonts w:ascii="Times New Roman" w:hAnsi="Times New Roman"/>
          <w:sz w:val="24"/>
          <w:szCs w:val="24"/>
        </w:rPr>
        <w:t xml:space="preserve">issues of </w:t>
      </w:r>
      <w:r w:rsidR="00C64D0B" w:rsidRPr="002B52BC">
        <w:rPr>
          <w:rFonts w:ascii="Times New Roman" w:hAnsi="Times New Roman"/>
          <w:sz w:val="24"/>
          <w:szCs w:val="24"/>
        </w:rPr>
        <w:t>reverse causation.</w:t>
      </w:r>
    </w:p>
    <w:p w:rsidR="001332A8" w:rsidRPr="002B52BC" w:rsidRDefault="00624AFD" w:rsidP="00AD7FE6">
      <w:pPr>
        <w:jc w:val="both"/>
        <w:rPr>
          <w:rFonts w:ascii="Times New Roman" w:hAnsi="Times New Roman"/>
          <w:sz w:val="24"/>
          <w:szCs w:val="24"/>
        </w:rPr>
      </w:pPr>
      <w:r>
        <w:rPr>
          <w:rFonts w:ascii="Times New Roman" w:hAnsi="Times New Roman"/>
          <w:sz w:val="24"/>
          <w:szCs w:val="24"/>
        </w:rPr>
        <w:t>W</w:t>
      </w:r>
      <w:r w:rsidR="003B5434">
        <w:rPr>
          <w:rFonts w:ascii="Times New Roman" w:hAnsi="Times New Roman"/>
          <w:sz w:val="24"/>
          <w:szCs w:val="24"/>
        </w:rPr>
        <w:t>e introd</w:t>
      </w:r>
      <w:r w:rsidR="00F56667">
        <w:rPr>
          <w:rFonts w:ascii="Times New Roman" w:hAnsi="Times New Roman"/>
          <w:sz w:val="24"/>
          <w:szCs w:val="24"/>
        </w:rPr>
        <w:t>uc</w:t>
      </w:r>
      <w:r w:rsidR="00210A75">
        <w:rPr>
          <w:rFonts w:ascii="Times New Roman" w:hAnsi="Times New Roman"/>
          <w:sz w:val="24"/>
          <w:szCs w:val="24"/>
        </w:rPr>
        <w:t>e three major controls.</w:t>
      </w:r>
      <w:r w:rsidR="007F0B2D">
        <w:rPr>
          <w:rFonts w:ascii="Times New Roman" w:hAnsi="Times New Roman"/>
          <w:sz w:val="24"/>
          <w:szCs w:val="24"/>
        </w:rPr>
        <w:t xml:space="preserve"> First</w:t>
      </w:r>
      <w:r w:rsidR="003B5434">
        <w:rPr>
          <w:rFonts w:ascii="Times New Roman" w:hAnsi="Times New Roman"/>
          <w:sz w:val="24"/>
          <w:szCs w:val="24"/>
        </w:rPr>
        <w:t xml:space="preserve">, </w:t>
      </w:r>
      <w:r w:rsidR="003F660F">
        <w:rPr>
          <w:rFonts w:ascii="Times New Roman" w:hAnsi="Times New Roman"/>
          <w:sz w:val="24"/>
          <w:szCs w:val="24"/>
        </w:rPr>
        <w:t>to</w:t>
      </w:r>
      <w:r w:rsidR="00CC1321" w:rsidRPr="002B52BC">
        <w:rPr>
          <w:rFonts w:ascii="Times New Roman" w:hAnsi="Times New Roman"/>
          <w:sz w:val="24"/>
          <w:szCs w:val="24"/>
        </w:rPr>
        <w:t xml:space="preserve"> account for </w:t>
      </w:r>
      <w:r w:rsidR="003B5434">
        <w:rPr>
          <w:rFonts w:ascii="Times New Roman" w:hAnsi="Times New Roman"/>
          <w:sz w:val="24"/>
          <w:szCs w:val="24"/>
        </w:rPr>
        <w:t xml:space="preserve">differences in the </w:t>
      </w:r>
      <w:r w:rsidR="00A80A1C">
        <w:rPr>
          <w:rFonts w:ascii="Times New Roman" w:hAnsi="Times New Roman"/>
          <w:sz w:val="24"/>
          <w:szCs w:val="24"/>
        </w:rPr>
        <w:t>re</w:t>
      </w:r>
      <w:r w:rsidR="003B5434">
        <w:rPr>
          <w:rFonts w:ascii="Times New Roman" w:hAnsi="Times New Roman"/>
          <w:sz w:val="24"/>
          <w:szCs w:val="24"/>
        </w:rPr>
        <w:t xml:space="preserve">liance on external finance </w:t>
      </w:r>
      <w:r w:rsidR="00F42776">
        <w:rPr>
          <w:rFonts w:ascii="Times New Roman" w:hAnsi="Times New Roman"/>
          <w:sz w:val="24"/>
          <w:szCs w:val="24"/>
        </w:rPr>
        <w:t xml:space="preserve">we </w:t>
      </w:r>
      <w:r w:rsidR="00CC1321" w:rsidRPr="002B52BC">
        <w:rPr>
          <w:rFonts w:ascii="Times New Roman" w:hAnsi="Times New Roman"/>
          <w:sz w:val="24"/>
          <w:szCs w:val="24"/>
        </w:rPr>
        <w:t>calculate industry level external finance sensitivities, using the methodology devis</w:t>
      </w:r>
      <w:r w:rsidR="00F42776">
        <w:rPr>
          <w:rFonts w:ascii="Times New Roman" w:hAnsi="Times New Roman"/>
          <w:sz w:val="24"/>
          <w:szCs w:val="24"/>
        </w:rPr>
        <w:t>ed by Rajan and Zingales (1998)</w:t>
      </w:r>
      <w:r w:rsidR="00CC1321" w:rsidRPr="002B52BC">
        <w:rPr>
          <w:rFonts w:ascii="Times New Roman" w:hAnsi="Times New Roman"/>
          <w:sz w:val="24"/>
          <w:szCs w:val="24"/>
        </w:rPr>
        <w:t xml:space="preserve">. </w:t>
      </w:r>
    </w:p>
    <w:p w:rsidR="00AE7604" w:rsidRPr="002B52BC" w:rsidRDefault="007F0B2D" w:rsidP="00AD7FE6">
      <w:pPr>
        <w:jc w:val="both"/>
        <w:rPr>
          <w:rFonts w:ascii="Times New Roman" w:hAnsi="Times New Roman"/>
          <w:sz w:val="24"/>
          <w:szCs w:val="24"/>
        </w:rPr>
      </w:pPr>
      <w:r>
        <w:rPr>
          <w:rFonts w:ascii="Times New Roman" w:hAnsi="Times New Roman"/>
          <w:sz w:val="24"/>
          <w:szCs w:val="24"/>
        </w:rPr>
        <w:t>Second</w:t>
      </w:r>
      <w:r w:rsidR="003F660F">
        <w:rPr>
          <w:rFonts w:ascii="Times New Roman" w:hAnsi="Times New Roman"/>
          <w:sz w:val="24"/>
          <w:szCs w:val="24"/>
        </w:rPr>
        <w:t>,</w:t>
      </w:r>
      <w:r w:rsidR="003B5434">
        <w:rPr>
          <w:rFonts w:ascii="Times New Roman" w:hAnsi="Times New Roman"/>
          <w:sz w:val="24"/>
          <w:szCs w:val="24"/>
        </w:rPr>
        <w:t xml:space="preserve"> </w:t>
      </w:r>
      <w:r w:rsidR="00F42776">
        <w:rPr>
          <w:rFonts w:ascii="Times New Roman" w:hAnsi="Times New Roman"/>
          <w:sz w:val="24"/>
          <w:szCs w:val="24"/>
        </w:rPr>
        <w:t xml:space="preserve">credit </w:t>
      </w:r>
      <w:r w:rsidR="003B5434">
        <w:rPr>
          <w:rFonts w:ascii="Times New Roman" w:hAnsi="Times New Roman"/>
          <w:sz w:val="24"/>
          <w:szCs w:val="24"/>
        </w:rPr>
        <w:t>demand and supply shocks may be correlated</w:t>
      </w:r>
      <w:r w:rsidR="003F660F">
        <w:rPr>
          <w:rFonts w:ascii="Times New Roman" w:hAnsi="Times New Roman"/>
          <w:sz w:val="24"/>
          <w:szCs w:val="24"/>
        </w:rPr>
        <w:t xml:space="preserve">. </w:t>
      </w:r>
      <w:r w:rsidR="00AE7604" w:rsidRPr="002B52BC">
        <w:rPr>
          <w:rFonts w:ascii="Times New Roman" w:hAnsi="Times New Roman"/>
          <w:sz w:val="24"/>
          <w:szCs w:val="24"/>
        </w:rPr>
        <w:t xml:space="preserve">We control for </w:t>
      </w:r>
      <w:r w:rsidR="005C3A55">
        <w:rPr>
          <w:rFonts w:ascii="Times New Roman" w:hAnsi="Times New Roman"/>
          <w:sz w:val="24"/>
          <w:szCs w:val="24"/>
        </w:rPr>
        <w:t xml:space="preserve">correlation </w:t>
      </w:r>
      <w:r w:rsidR="00AE7604" w:rsidRPr="002B52BC">
        <w:rPr>
          <w:rFonts w:ascii="Times New Roman" w:hAnsi="Times New Roman"/>
          <w:sz w:val="24"/>
          <w:szCs w:val="24"/>
        </w:rPr>
        <w:t xml:space="preserve">by </w:t>
      </w:r>
      <w:r w:rsidR="00A80A1C">
        <w:rPr>
          <w:rFonts w:ascii="Times New Roman" w:hAnsi="Times New Roman"/>
          <w:sz w:val="24"/>
          <w:szCs w:val="24"/>
        </w:rPr>
        <w:t>first</w:t>
      </w:r>
      <w:r w:rsidR="00AE7604" w:rsidRPr="002B52BC">
        <w:rPr>
          <w:rFonts w:ascii="Times New Roman" w:hAnsi="Times New Roman"/>
          <w:sz w:val="24"/>
          <w:szCs w:val="24"/>
        </w:rPr>
        <w:t xml:space="preserve"> accounting for firm specific variables in the regression</w:t>
      </w:r>
      <w:r w:rsidR="00AE7604" w:rsidRPr="002B52BC">
        <w:rPr>
          <w:rFonts w:ascii="Times New Roman" w:hAnsi="Times New Roman"/>
          <w:color w:val="FF0000"/>
          <w:sz w:val="24"/>
          <w:szCs w:val="24"/>
        </w:rPr>
        <w:t xml:space="preserve">. </w:t>
      </w:r>
      <w:r w:rsidR="00AE7604" w:rsidRPr="002B52BC">
        <w:rPr>
          <w:rFonts w:ascii="Times New Roman" w:hAnsi="Times New Roman"/>
          <w:sz w:val="24"/>
          <w:szCs w:val="24"/>
        </w:rPr>
        <w:t xml:space="preserve">Second, we </w:t>
      </w:r>
      <w:r w:rsidR="00630BE8" w:rsidRPr="002B52BC">
        <w:rPr>
          <w:rFonts w:ascii="Times New Roman" w:hAnsi="Times New Roman"/>
          <w:sz w:val="24"/>
          <w:szCs w:val="24"/>
        </w:rPr>
        <w:t xml:space="preserve">introduce in the regression </w:t>
      </w:r>
      <w:r w:rsidR="00AE7604" w:rsidRPr="002B52BC">
        <w:rPr>
          <w:rFonts w:ascii="Times New Roman" w:hAnsi="Times New Roman"/>
          <w:sz w:val="24"/>
          <w:szCs w:val="24"/>
        </w:rPr>
        <w:t xml:space="preserve">an industry level business cycle sensitivity variable, </w:t>
      </w:r>
      <w:r w:rsidR="00F42776">
        <w:rPr>
          <w:rFonts w:ascii="Times New Roman" w:hAnsi="Times New Roman"/>
          <w:sz w:val="24"/>
          <w:szCs w:val="24"/>
        </w:rPr>
        <w:t>which account</w:t>
      </w:r>
      <w:r>
        <w:rPr>
          <w:rFonts w:ascii="Times New Roman" w:hAnsi="Times New Roman"/>
          <w:sz w:val="24"/>
          <w:szCs w:val="24"/>
        </w:rPr>
        <w:t>s</w:t>
      </w:r>
      <w:r w:rsidR="00F42776">
        <w:rPr>
          <w:rFonts w:ascii="Times New Roman" w:hAnsi="Times New Roman"/>
          <w:sz w:val="24"/>
          <w:szCs w:val="24"/>
        </w:rPr>
        <w:t xml:space="preserve"> for the </w:t>
      </w:r>
      <w:r>
        <w:rPr>
          <w:rFonts w:ascii="Times New Roman" w:hAnsi="Times New Roman"/>
          <w:sz w:val="24"/>
          <w:szCs w:val="24"/>
        </w:rPr>
        <w:t xml:space="preserve">domestic </w:t>
      </w:r>
      <w:r w:rsidR="00F42776">
        <w:rPr>
          <w:rFonts w:ascii="Times New Roman" w:hAnsi="Times New Roman"/>
          <w:sz w:val="24"/>
          <w:szCs w:val="24"/>
        </w:rPr>
        <w:t xml:space="preserve">demand for credit, </w:t>
      </w:r>
      <w:r w:rsidR="00AE7604" w:rsidRPr="002B52BC">
        <w:rPr>
          <w:rFonts w:ascii="Times New Roman" w:hAnsi="Times New Roman"/>
          <w:sz w:val="24"/>
          <w:szCs w:val="24"/>
        </w:rPr>
        <w:t xml:space="preserve">following the methodology developed by Tong and Wei (2008)). </w:t>
      </w:r>
    </w:p>
    <w:p w:rsidR="00CC1321" w:rsidRDefault="0090121B" w:rsidP="00AD7FE6">
      <w:pPr>
        <w:jc w:val="both"/>
        <w:rPr>
          <w:rFonts w:ascii="Times New Roman" w:hAnsi="Times New Roman"/>
          <w:sz w:val="24"/>
          <w:szCs w:val="24"/>
        </w:rPr>
      </w:pPr>
      <w:r>
        <w:rPr>
          <w:rFonts w:ascii="Times New Roman" w:hAnsi="Times New Roman"/>
          <w:sz w:val="24"/>
          <w:szCs w:val="24"/>
        </w:rPr>
        <w:t xml:space="preserve">We </w:t>
      </w:r>
      <w:r w:rsidR="008B2DDD">
        <w:rPr>
          <w:rFonts w:ascii="Times New Roman" w:hAnsi="Times New Roman"/>
          <w:sz w:val="24"/>
          <w:szCs w:val="24"/>
        </w:rPr>
        <w:t xml:space="preserve">also </w:t>
      </w:r>
      <w:r>
        <w:rPr>
          <w:rFonts w:ascii="Times New Roman" w:hAnsi="Times New Roman"/>
          <w:sz w:val="24"/>
          <w:szCs w:val="24"/>
        </w:rPr>
        <w:t xml:space="preserve">control </w:t>
      </w:r>
      <w:r w:rsidR="003B5434">
        <w:rPr>
          <w:rFonts w:ascii="Times New Roman" w:hAnsi="Times New Roman"/>
          <w:sz w:val="24"/>
          <w:szCs w:val="24"/>
        </w:rPr>
        <w:t>for the possibility that</w:t>
      </w:r>
      <w:r w:rsidR="00CC1321" w:rsidRPr="002B52BC">
        <w:rPr>
          <w:rFonts w:ascii="Times New Roman" w:hAnsi="Times New Roman"/>
          <w:sz w:val="24"/>
          <w:szCs w:val="24"/>
        </w:rPr>
        <w:t xml:space="preserve"> firms in industries that are more dependent on international trade </w:t>
      </w:r>
      <w:r>
        <w:rPr>
          <w:rFonts w:ascii="Times New Roman" w:hAnsi="Times New Roman"/>
          <w:sz w:val="24"/>
          <w:szCs w:val="24"/>
        </w:rPr>
        <w:t>being</w:t>
      </w:r>
      <w:r w:rsidR="00CC1321" w:rsidRPr="002B52BC">
        <w:rPr>
          <w:rFonts w:ascii="Times New Roman" w:hAnsi="Times New Roman"/>
          <w:sz w:val="24"/>
          <w:szCs w:val="24"/>
        </w:rPr>
        <w:t xml:space="preserve"> more adversely affected than f</w:t>
      </w:r>
      <w:r w:rsidR="00210A75">
        <w:rPr>
          <w:rFonts w:ascii="Times New Roman" w:hAnsi="Times New Roman"/>
          <w:sz w:val="24"/>
          <w:szCs w:val="24"/>
        </w:rPr>
        <w:t>irms that serve domestic market</w:t>
      </w:r>
      <w:r w:rsidR="00CC1321" w:rsidRPr="002B52BC">
        <w:rPr>
          <w:rFonts w:ascii="Times New Roman" w:hAnsi="Times New Roman"/>
          <w:sz w:val="24"/>
          <w:szCs w:val="24"/>
        </w:rPr>
        <w:t>.</w:t>
      </w:r>
      <w:r w:rsidR="00CC1321" w:rsidRPr="002B52BC">
        <w:rPr>
          <w:rStyle w:val="FootnoteReference"/>
          <w:rFonts w:ascii="Times New Roman" w:hAnsi="Times New Roman"/>
          <w:sz w:val="24"/>
          <w:szCs w:val="24"/>
        </w:rPr>
        <w:footnoteReference w:id="3"/>
      </w:r>
      <w:r w:rsidR="002677D0">
        <w:rPr>
          <w:rFonts w:ascii="Times New Roman" w:hAnsi="Times New Roman"/>
          <w:sz w:val="24"/>
          <w:szCs w:val="24"/>
        </w:rPr>
        <w:t xml:space="preserve"> </w:t>
      </w:r>
    </w:p>
    <w:p w:rsidR="00CC1321" w:rsidRPr="002B52BC" w:rsidRDefault="00F42776" w:rsidP="00AD7FE6">
      <w:pPr>
        <w:jc w:val="both"/>
        <w:rPr>
          <w:rFonts w:ascii="Times New Roman" w:hAnsi="Times New Roman"/>
          <w:sz w:val="24"/>
          <w:szCs w:val="24"/>
        </w:rPr>
      </w:pPr>
      <w:r>
        <w:rPr>
          <w:rFonts w:ascii="Times New Roman" w:hAnsi="Times New Roman"/>
          <w:sz w:val="24"/>
          <w:szCs w:val="24"/>
        </w:rPr>
        <w:lastRenderedPageBreak/>
        <w:t>All three above controls are calculated using</w:t>
      </w:r>
      <w:r w:rsidRPr="002B52BC">
        <w:rPr>
          <w:rFonts w:ascii="Times New Roman" w:hAnsi="Times New Roman"/>
          <w:sz w:val="24"/>
          <w:szCs w:val="24"/>
        </w:rPr>
        <w:t xml:space="preserve"> US firm level data from Compustat f</w:t>
      </w:r>
      <w:r>
        <w:rPr>
          <w:rFonts w:ascii="Times New Roman" w:hAnsi="Times New Roman"/>
          <w:sz w:val="24"/>
          <w:szCs w:val="24"/>
        </w:rPr>
        <w:t xml:space="preserve">or 2000-2006. </w:t>
      </w:r>
      <w:r w:rsidR="008B2DDD">
        <w:rPr>
          <w:rFonts w:ascii="Times New Roman" w:hAnsi="Times New Roman"/>
          <w:sz w:val="24"/>
          <w:szCs w:val="24"/>
        </w:rPr>
        <w:t>The</w:t>
      </w:r>
      <w:r w:rsidR="00210A75">
        <w:rPr>
          <w:rFonts w:ascii="Times New Roman" w:hAnsi="Times New Roman"/>
          <w:sz w:val="24"/>
          <w:szCs w:val="24"/>
        </w:rPr>
        <w:t xml:space="preserve">se </w:t>
      </w:r>
      <w:r w:rsidR="003666BE">
        <w:rPr>
          <w:rFonts w:ascii="Times New Roman" w:hAnsi="Times New Roman"/>
          <w:sz w:val="24"/>
          <w:szCs w:val="24"/>
        </w:rPr>
        <w:t xml:space="preserve">controls </w:t>
      </w:r>
      <w:r w:rsidR="00630BE8" w:rsidRPr="002B52BC">
        <w:rPr>
          <w:rFonts w:ascii="Times New Roman" w:hAnsi="Times New Roman"/>
          <w:sz w:val="24"/>
          <w:szCs w:val="24"/>
        </w:rPr>
        <w:t xml:space="preserve">allow us </w:t>
      </w:r>
      <w:r w:rsidR="00630BE8" w:rsidRPr="002677D0">
        <w:rPr>
          <w:rFonts w:ascii="Times New Roman" w:hAnsi="Times New Roman"/>
          <w:sz w:val="24"/>
          <w:szCs w:val="24"/>
        </w:rPr>
        <w:t>to check</w:t>
      </w:r>
      <w:r w:rsidR="002677D0">
        <w:rPr>
          <w:rFonts w:ascii="Times New Roman" w:hAnsi="Times New Roman"/>
          <w:sz w:val="24"/>
          <w:szCs w:val="24"/>
        </w:rPr>
        <w:t xml:space="preserve"> to what extent ex ante</w:t>
      </w:r>
      <w:r w:rsidR="002677D0" w:rsidRPr="002677D0">
        <w:rPr>
          <w:rFonts w:ascii="Times New Roman" w:hAnsi="Times New Roman"/>
          <w:sz w:val="24"/>
          <w:szCs w:val="24"/>
        </w:rPr>
        <w:t xml:space="preserve"> </w:t>
      </w:r>
      <w:r w:rsidR="00CC1321" w:rsidRPr="002677D0">
        <w:rPr>
          <w:rFonts w:ascii="Times New Roman" w:hAnsi="Times New Roman"/>
          <w:sz w:val="24"/>
          <w:szCs w:val="24"/>
        </w:rPr>
        <w:t>ﬁrms</w:t>
      </w:r>
      <w:r w:rsidR="002677D0">
        <w:rPr>
          <w:rFonts w:ascii="Times New Roman" w:hAnsi="Times New Roman"/>
          <w:sz w:val="24"/>
          <w:szCs w:val="24"/>
        </w:rPr>
        <w:t xml:space="preserve">’ intrinsic characteristics (external financial dependence, </w:t>
      </w:r>
      <w:r w:rsidR="00CC1321" w:rsidRPr="002677D0">
        <w:rPr>
          <w:rFonts w:ascii="Times New Roman" w:hAnsi="Times New Roman"/>
          <w:sz w:val="24"/>
          <w:szCs w:val="24"/>
        </w:rPr>
        <w:t>sensitivity to</w:t>
      </w:r>
      <w:r w:rsidR="002677D0">
        <w:rPr>
          <w:rFonts w:ascii="Times New Roman" w:hAnsi="Times New Roman"/>
          <w:sz w:val="24"/>
          <w:szCs w:val="24"/>
        </w:rPr>
        <w:t xml:space="preserve"> domestic and foreign demand) </w:t>
      </w:r>
      <w:r w:rsidR="00CC1321" w:rsidRPr="002677D0">
        <w:rPr>
          <w:rFonts w:ascii="Times New Roman" w:hAnsi="Times New Roman"/>
          <w:sz w:val="24"/>
          <w:szCs w:val="24"/>
        </w:rPr>
        <w:t xml:space="preserve">help explain changes in </w:t>
      </w:r>
      <w:r w:rsidR="002677D0">
        <w:rPr>
          <w:rFonts w:ascii="Times New Roman" w:hAnsi="Times New Roman"/>
          <w:sz w:val="24"/>
          <w:szCs w:val="24"/>
        </w:rPr>
        <w:t>their ex post performance, i.e.</w:t>
      </w:r>
      <w:r w:rsidR="002677D0" w:rsidRPr="002677D0">
        <w:rPr>
          <w:rFonts w:ascii="Times New Roman" w:hAnsi="Times New Roman"/>
          <w:sz w:val="24"/>
          <w:szCs w:val="24"/>
        </w:rPr>
        <w:t xml:space="preserve"> </w:t>
      </w:r>
      <w:r w:rsidR="00CC1321" w:rsidRPr="002677D0">
        <w:rPr>
          <w:rFonts w:ascii="Times New Roman" w:hAnsi="Times New Roman"/>
          <w:sz w:val="24"/>
          <w:szCs w:val="24"/>
        </w:rPr>
        <w:t>inve</w:t>
      </w:r>
      <w:r w:rsidR="002677D0" w:rsidRPr="002677D0">
        <w:rPr>
          <w:rFonts w:ascii="Times New Roman" w:hAnsi="Times New Roman"/>
          <w:sz w:val="24"/>
          <w:szCs w:val="24"/>
        </w:rPr>
        <w:t>stments</w:t>
      </w:r>
      <w:r w:rsidR="005C6FCE">
        <w:rPr>
          <w:rFonts w:ascii="Times New Roman" w:hAnsi="Times New Roman"/>
          <w:sz w:val="24"/>
          <w:szCs w:val="24"/>
        </w:rPr>
        <w:t xml:space="preserve"> during</w:t>
      </w:r>
      <w:r w:rsidR="002677D0" w:rsidRPr="002677D0">
        <w:rPr>
          <w:rFonts w:ascii="Times New Roman" w:hAnsi="Times New Roman"/>
          <w:sz w:val="24"/>
          <w:szCs w:val="24"/>
        </w:rPr>
        <w:t xml:space="preserve"> the crisis</w:t>
      </w:r>
      <w:r w:rsidR="002677D0">
        <w:rPr>
          <w:rFonts w:ascii="Times New Roman" w:hAnsi="Times New Roman"/>
          <w:sz w:val="24"/>
          <w:szCs w:val="24"/>
        </w:rPr>
        <w:t>.</w:t>
      </w:r>
    </w:p>
    <w:p w:rsidR="00CC1321" w:rsidRPr="002B52BC" w:rsidRDefault="004A38D4" w:rsidP="00AD7FE6">
      <w:pPr>
        <w:jc w:val="both"/>
        <w:rPr>
          <w:rFonts w:ascii="Times New Roman" w:hAnsi="Times New Roman"/>
          <w:b/>
          <w:i/>
          <w:sz w:val="24"/>
          <w:szCs w:val="24"/>
        </w:rPr>
      </w:pPr>
      <w:r w:rsidRPr="002B52BC">
        <w:rPr>
          <w:rFonts w:ascii="Times New Roman" w:hAnsi="Times New Roman"/>
          <w:b/>
          <w:sz w:val="24"/>
          <w:szCs w:val="24"/>
        </w:rPr>
        <w:t xml:space="preserve">3. </w:t>
      </w:r>
      <w:r w:rsidR="00CC1321" w:rsidRPr="002B52BC">
        <w:rPr>
          <w:rFonts w:ascii="Times New Roman" w:hAnsi="Times New Roman"/>
          <w:b/>
          <w:sz w:val="24"/>
          <w:szCs w:val="24"/>
        </w:rPr>
        <w:t>Results</w:t>
      </w:r>
    </w:p>
    <w:p w:rsidR="00CC1321" w:rsidRPr="002B52BC" w:rsidRDefault="00F56667" w:rsidP="00AD7FE6">
      <w:pPr>
        <w:jc w:val="both"/>
        <w:rPr>
          <w:rFonts w:ascii="Times New Roman" w:hAnsi="Times New Roman"/>
          <w:sz w:val="24"/>
          <w:szCs w:val="24"/>
        </w:rPr>
      </w:pPr>
      <w:r>
        <w:rPr>
          <w:rFonts w:ascii="Times New Roman" w:hAnsi="Times New Roman"/>
          <w:sz w:val="24"/>
          <w:szCs w:val="24"/>
        </w:rPr>
        <w:t>T</w:t>
      </w:r>
      <w:r w:rsidR="00CC1321" w:rsidRPr="002B52BC">
        <w:rPr>
          <w:rFonts w:ascii="Times New Roman" w:hAnsi="Times New Roman"/>
          <w:sz w:val="24"/>
          <w:szCs w:val="24"/>
        </w:rPr>
        <w:t>he results from our baseline specification</w:t>
      </w:r>
      <w:r>
        <w:rPr>
          <w:rFonts w:ascii="Times New Roman" w:hAnsi="Times New Roman"/>
          <w:sz w:val="24"/>
          <w:szCs w:val="24"/>
        </w:rPr>
        <w:t xml:space="preserve"> are shown in</w:t>
      </w:r>
      <w:r w:rsidR="00210A75">
        <w:rPr>
          <w:rFonts w:ascii="Times New Roman" w:hAnsi="Times New Roman"/>
          <w:sz w:val="24"/>
          <w:szCs w:val="24"/>
        </w:rPr>
        <w:t xml:space="preserve"> Table 1. </w:t>
      </w:r>
      <w:r w:rsidR="00976934">
        <w:rPr>
          <w:rFonts w:ascii="Times New Roman" w:hAnsi="Times New Roman"/>
          <w:sz w:val="24"/>
          <w:szCs w:val="24"/>
        </w:rPr>
        <w:t xml:space="preserve">We start with baseline specification, column 1 and find a negative and statistically significant coefficient of the bank distress variable. </w:t>
      </w:r>
      <w:r w:rsidR="00CC1321" w:rsidRPr="002B52BC">
        <w:rPr>
          <w:rFonts w:ascii="Times New Roman" w:hAnsi="Times New Roman"/>
          <w:sz w:val="24"/>
          <w:szCs w:val="24"/>
        </w:rPr>
        <w:t xml:space="preserve">We </w:t>
      </w:r>
      <w:r w:rsidR="009C68C9">
        <w:rPr>
          <w:rFonts w:ascii="Times New Roman" w:hAnsi="Times New Roman"/>
          <w:sz w:val="24"/>
          <w:szCs w:val="24"/>
        </w:rPr>
        <w:t>introduce</w:t>
      </w:r>
      <w:r w:rsidR="00CC1321" w:rsidRPr="002B52BC">
        <w:rPr>
          <w:rFonts w:ascii="Times New Roman" w:hAnsi="Times New Roman"/>
          <w:sz w:val="24"/>
          <w:szCs w:val="24"/>
        </w:rPr>
        <w:t xml:space="preserve"> one by one, industry specific</w:t>
      </w:r>
      <w:r w:rsidR="005C6FCE">
        <w:rPr>
          <w:rFonts w:ascii="Times New Roman" w:hAnsi="Times New Roman"/>
          <w:sz w:val="24"/>
          <w:szCs w:val="24"/>
        </w:rPr>
        <w:t xml:space="preserve"> sensitivities</w:t>
      </w:r>
      <w:r w:rsidR="003666BE">
        <w:rPr>
          <w:rFonts w:ascii="Times New Roman" w:hAnsi="Times New Roman"/>
          <w:sz w:val="24"/>
          <w:szCs w:val="24"/>
        </w:rPr>
        <w:t>.</w:t>
      </w:r>
      <w:r w:rsidR="0067131F">
        <w:rPr>
          <w:rFonts w:ascii="Times New Roman" w:hAnsi="Times New Roman"/>
          <w:sz w:val="24"/>
          <w:szCs w:val="24"/>
        </w:rPr>
        <w:t xml:space="preserve"> T</w:t>
      </w:r>
      <w:r w:rsidR="00CC1321" w:rsidRPr="002B52BC">
        <w:rPr>
          <w:rFonts w:ascii="Times New Roman" w:hAnsi="Times New Roman"/>
          <w:sz w:val="24"/>
          <w:szCs w:val="24"/>
        </w:rPr>
        <w:t>he coefficient</w:t>
      </w:r>
      <w:r w:rsidR="003666BE">
        <w:rPr>
          <w:rFonts w:ascii="Times New Roman" w:hAnsi="Times New Roman"/>
          <w:sz w:val="24"/>
          <w:szCs w:val="24"/>
        </w:rPr>
        <w:t>s</w:t>
      </w:r>
      <w:r w:rsidR="00CC1321" w:rsidRPr="002B52BC">
        <w:rPr>
          <w:rFonts w:ascii="Times New Roman" w:hAnsi="Times New Roman"/>
          <w:sz w:val="24"/>
          <w:szCs w:val="24"/>
        </w:rPr>
        <w:t xml:space="preserve"> of the external finance dependence</w:t>
      </w:r>
      <w:r w:rsidR="0056533A">
        <w:rPr>
          <w:rFonts w:ascii="Times New Roman" w:hAnsi="Times New Roman"/>
          <w:sz w:val="24"/>
          <w:szCs w:val="24"/>
        </w:rPr>
        <w:t>,</w:t>
      </w:r>
      <w:r w:rsidR="00976934">
        <w:rPr>
          <w:rFonts w:ascii="Times New Roman" w:hAnsi="Times New Roman"/>
          <w:sz w:val="24"/>
          <w:szCs w:val="24"/>
        </w:rPr>
        <w:t xml:space="preserve"> </w:t>
      </w:r>
      <w:r w:rsidR="0056533A" w:rsidRPr="002B52BC">
        <w:rPr>
          <w:rFonts w:ascii="Times New Roman" w:hAnsi="Times New Roman"/>
          <w:sz w:val="24"/>
          <w:szCs w:val="24"/>
        </w:rPr>
        <w:t>of the business cycle sensitivity</w:t>
      </w:r>
      <w:r w:rsidR="00976934">
        <w:rPr>
          <w:rFonts w:ascii="Times New Roman" w:hAnsi="Times New Roman"/>
          <w:sz w:val="24"/>
          <w:szCs w:val="24"/>
        </w:rPr>
        <w:t>,</w:t>
      </w:r>
      <w:r w:rsidR="00CC1321" w:rsidRPr="002B52BC">
        <w:rPr>
          <w:rFonts w:ascii="Times New Roman" w:hAnsi="Times New Roman"/>
          <w:sz w:val="24"/>
          <w:szCs w:val="24"/>
        </w:rPr>
        <w:t xml:space="preserve"> </w:t>
      </w:r>
      <w:r w:rsidR="0056533A">
        <w:rPr>
          <w:rFonts w:ascii="Times New Roman" w:hAnsi="Times New Roman"/>
          <w:sz w:val="24"/>
          <w:szCs w:val="24"/>
        </w:rPr>
        <w:t>and</w:t>
      </w:r>
      <w:r w:rsidR="003666BE">
        <w:rPr>
          <w:rFonts w:ascii="Times New Roman" w:hAnsi="Times New Roman"/>
          <w:sz w:val="24"/>
          <w:szCs w:val="24"/>
        </w:rPr>
        <w:t xml:space="preserve"> of</w:t>
      </w:r>
      <w:r w:rsidR="0056533A">
        <w:rPr>
          <w:rFonts w:ascii="Times New Roman" w:hAnsi="Times New Roman"/>
          <w:sz w:val="24"/>
          <w:szCs w:val="24"/>
        </w:rPr>
        <w:t xml:space="preserve"> </w:t>
      </w:r>
      <w:r w:rsidR="0056533A" w:rsidRPr="002B52BC">
        <w:rPr>
          <w:rFonts w:ascii="Times New Roman" w:hAnsi="Times New Roman"/>
          <w:sz w:val="24"/>
          <w:szCs w:val="24"/>
        </w:rPr>
        <w:t>trade sensitivity variable</w:t>
      </w:r>
      <w:r w:rsidR="0056533A">
        <w:rPr>
          <w:rFonts w:ascii="Times New Roman" w:hAnsi="Times New Roman"/>
          <w:sz w:val="24"/>
          <w:szCs w:val="24"/>
        </w:rPr>
        <w:t>s</w:t>
      </w:r>
      <w:r w:rsidR="0056533A" w:rsidRPr="002B52BC">
        <w:rPr>
          <w:rFonts w:ascii="Times New Roman" w:hAnsi="Times New Roman"/>
          <w:sz w:val="24"/>
          <w:szCs w:val="24"/>
        </w:rPr>
        <w:t xml:space="preserve"> </w:t>
      </w:r>
      <w:r w:rsidR="0056533A">
        <w:rPr>
          <w:rFonts w:ascii="Times New Roman" w:hAnsi="Times New Roman"/>
          <w:sz w:val="24"/>
          <w:szCs w:val="24"/>
        </w:rPr>
        <w:t>are all</w:t>
      </w:r>
      <w:r w:rsidR="00CC1321" w:rsidRPr="002B52BC">
        <w:rPr>
          <w:rFonts w:ascii="Times New Roman" w:hAnsi="Times New Roman"/>
          <w:sz w:val="24"/>
          <w:szCs w:val="24"/>
        </w:rPr>
        <w:t xml:space="preserve"> negative and statistically significant. Finally, we introduce all three sectoral sensitivities. </w:t>
      </w:r>
      <w:r w:rsidR="008B2DDD">
        <w:rPr>
          <w:rFonts w:ascii="Times New Roman" w:hAnsi="Times New Roman"/>
          <w:sz w:val="24"/>
          <w:szCs w:val="24"/>
        </w:rPr>
        <w:t>(L</w:t>
      </w:r>
      <w:r w:rsidR="00CC1321" w:rsidRPr="002B52BC">
        <w:rPr>
          <w:rFonts w:ascii="Times New Roman" w:hAnsi="Times New Roman"/>
          <w:sz w:val="24"/>
          <w:szCs w:val="24"/>
        </w:rPr>
        <w:t>ast column of Table 1</w:t>
      </w:r>
      <w:r w:rsidR="008B2DDD">
        <w:rPr>
          <w:rFonts w:ascii="Times New Roman" w:hAnsi="Times New Roman"/>
          <w:sz w:val="24"/>
          <w:szCs w:val="24"/>
        </w:rPr>
        <w:t>)</w:t>
      </w:r>
      <w:r w:rsidR="00CC1321" w:rsidRPr="002B52BC">
        <w:rPr>
          <w:rFonts w:ascii="Times New Roman" w:hAnsi="Times New Roman"/>
          <w:sz w:val="24"/>
          <w:szCs w:val="24"/>
        </w:rPr>
        <w:t xml:space="preserve">. All </w:t>
      </w:r>
      <w:r w:rsidR="003666BE">
        <w:rPr>
          <w:rFonts w:ascii="Times New Roman" w:hAnsi="Times New Roman"/>
          <w:sz w:val="24"/>
          <w:szCs w:val="24"/>
        </w:rPr>
        <w:t xml:space="preserve">the coefficients of </w:t>
      </w:r>
      <w:r w:rsidR="00CC1321" w:rsidRPr="002B52BC">
        <w:rPr>
          <w:rFonts w:ascii="Times New Roman" w:hAnsi="Times New Roman"/>
          <w:sz w:val="24"/>
          <w:szCs w:val="24"/>
        </w:rPr>
        <w:t>sensitivities variables have the expected signs, are negative and statistically significant. The bank distress variable remains negative and statistically significant in all regressions</w:t>
      </w:r>
      <w:r w:rsidR="00E43558">
        <w:rPr>
          <w:rFonts w:ascii="Times New Roman" w:hAnsi="Times New Roman"/>
          <w:sz w:val="24"/>
          <w:szCs w:val="24"/>
        </w:rPr>
        <w:t>.</w:t>
      </w:r>
      <w:r w:rsidR="00CC1321" w:rsidRPr="002B52BC">
        <w:rPr>
          <w:rFonts w:ascii="Times New Roman" w:hAnsi="Times New Roman"/>
          <w:sz w:val="24"/>
          <w:szCs w:val="24"/>
        </w:rPr>
        <w:t xml:space="preserve"> </w:t>
      </w:r>
      <w:r w:rsidR="00E43558">
        <w:rPr>
          <w:rFonts w:ascii="Times New Roman" w:hAnsi="Times New Roman"/>
          <w:sz w:val="24"/>
          <w:szCs w:val="24"/>
        </w:rPr>
        <w:t xml:space="preserve">This </w:t>
      </w:r>
      <w:r w:rsidR="00CC1321" w:rsidRPr="002B52BC">
        <w:rPr>
          <w:rFonts w:ascii="Times New Roman" w:hAnsi="Times New Roman"/>
          <w:sz w:val="24"/>
          <w:szCs w:val="24"/>
        </w:rPr>
        <w:t>sugges</w:t>
      </w:r>
      <w:r w:rsidR="00E43558">
        <w:rPr>
          <w:rFonts w:ascii="Times New Roman" w:hAnsi="Times New Roman"/>
          <w:sz w:val="24"/>
          <w:szCs w:val="24"/>
        </w:rPr>
        <w:t xml:space="preserve">ts </w:t>
      </w:r>
      <w:r w:rsidR="00CC1321" w:rsidRPr="002B52BC">
        <w:rPr>
          <w:rFonts w:ascii="Times New Roman" w:hAnsi="Times New Roman"/>
          <w:sz w:val="24"/>
          <w:szCs w:val="24"/>
        </w:rPr>
        <w:t>that</w:t>
      </w:r>
      <w:r w:rsidR="003666BE">
        <w:rPr>
          <w:rFonts w:ascii="Times New Roman" w:hAnsi="Times New Roman"/>
          <w:sz w:val="24"/>
          <w:szCs w:val="24"/>
        </w:rPr>
        <w:t>,</w:t>
      </w:r>
      <w:r w:rsidR="00CC1321" w:rsidRPr="002B52BC">
        <w:rPr>
          <w:rFonts w:ascii="Times New Roman" w:hAnsi="Times New Roman"/>
          <w:sz w:val="24"/>
          <w:szCs w:val="24"/>
        </w:rPr>
        <w:t xml:space="preserve"> even after accounting for other possible factors</w:t>
      </w:r>
      <w:r w:rsidR="003666BE">
        <w:rPr>
          <w:rFonts w:ascii="Times New Roman" w:hAnsi="Times New Roman"/>
          <w:sz w:val="24"/>
          <w:szCs w:val="24"/>
        </w:rPr>
        <w:t xml:space="preserve">, </w:t>
      </w:r>
      <w:r w:rsidR="00CC1321" w:rsidRPr="002B52BC">
        <w:rPr>
          <w:rFonts w:ascii="Times New Roman" w:hAnsi="Times New Roman"/>
          <w:sz w:val="24"/>
          <w:szCs w:val="24"/>
        </w:rPr>
        <w:t>banks</w:t>
      </w:r>
      <w:r w:rsidR="003666BE">
        <w:rPr>
          <w:rFonts w:ascii="Times New Roman" w:hAnsi="Times New Roman"/>
          <w:sz w:val="24"/>
          <w:szCs w:val="24"/>
        </w:rPr>
        <w:t>’ distress</w:t>
      </w:r>
      <w:r w:rsidR="00CC1321" w:rsidRPr="002B52BC">
        <w:rPr>
          <w:rFonts w:ascii="Times New Roman" w:hAnsi="Times New Roman"/>
          <w:sz w:val="24"/>
          <w:szCs w:val="24"/>
        </w:rPr>
        <w:t xml:space="preserve"> was transmitted to their customers and negatively affected their investments.</w:t>
      </w:r>
    </w:p>
    <w:p w:rsidR="00CC1321" w:rsidRPr="002B52BC" w:rsidRDefault="004A38D4" w:rsidP="00AD7FE6">
      <w:pPr>
        <w:jc w:val="both"/>
        <w:rPr>
          <w:rFonts w:ascii="Times New Roman" w:hAnsi="Times New Roman"/>
          <w:b/>
          <w:sz w:val="24"/>
          <w:szCs w:val="24"/>
        </w:rPr>
      </w:pPr>
      <w:r w:rsidRPr="002B52BC">
        <w:rPr>
          <w:rFonts w:ascii="Times New Roman" w:hAnsi="Times New Roman"/>
          <w:b/>
          <w:sz w:val="24"/>
          <w:szCs w:val="24"/>
        </w:rPr>
        <w:t xml:space="preserve">4. </w:t>
      </w:r>
      <w:r w:rsidR="00CC1321" w:rsidRPr="002B52BC">
        <w:rPr>
          <w:rFonts w:ascii="Times New Roman" w:hAnsi="Times New Roman"/>
          <w:b/>
          <w:sz w:val="24"/>
          <w:szCs w:val="24"/>
        </w:rPr>
        <w:t>Robustness checks</w:t>
      </w:r>
    </w:p>
    <w:p w:rsidR="00CC33DB" w:rsidRDefault="00976934" w:rsidP="00AD7FE6">
      <w:pPr>
        <w:jc w:val="both"/>
        <w:rPr>
          <w:rFonts w:ascii="Times New Roman" w:hAnsi="Times New Roman"/>
          <w:sz w:val="24"/>
          <w:szCs w:val="24"/>
        </w:rPr>
      </w:pPr>
      <w:r>
        <w:rPr>
          <w:rFonts w:ascii="Times New Roman" w:hAnsi="Times New Roman"/>
          <w:sz w:val="24"/>
          <w:szCs w:val="24"/>
        </w:rPr>
        <w:t xml:space="preserve">To control for the possibility that ﬁrms may have anticipated </w:t>
      </w:r>
      <w:r w:rsidR="00CC1321" w:rsidRPr="00CC33DB">
        <w:rPr>
          <w:rFonts w:ascii="Times New Roman" w:hAnsi="Times New Roman"/>
          <w:sz w:val="24"/>
          <w:szCs w:val="24"/>
        </w:rPr>
        <w:t>the crisis,</w:t>
      </w:r>
      <w:r w:rsidR="00210A75">
        <w:rPr>
          <w:rFonts w:ascii="Times New Roman" w:hAnsi="Times New Roman"/>
          <w:sz w:val="24"/>
          <w:szCs w:val="24"/>
        </w:rPr>
        <w:t xml:space="preserve"> </w:t>
      </w:r>
      <w:r w:rsidR="00D54989">
        <w:rPr>
          <w:rFonts w:ascii="Times New Roman" w:hAnsi="Times New Roman"/>
          <w:sz w:val="24"/>
          <w:szCs w:val="24"/>
        </w:rPr>
        <w:t>and took</w:t>
      </w:r>
      <w:r w:rsidR="004D6C3C" w:rsidRPr="00CC33DB">
        <w:rPr>
          <w:rFonts w:ascii="Times New Roman" w:hAnsi="Times New Roman"/>
          <w:sz w:val="24"/>
          <w:szCs w:val="24"/>
        </w:rPr>
        <w:t xml:space="preserve"> precautionary measure</w:t>
      </w:r>
      <w:r w:rsidR="004D6C3C">
        <w:rPr>
          <w:rFonts w:ascii="Times New Roman" w:hAnsi="Times New Roman"/>
          <w:sz w:val="24"/>
          <w:szCs w:val="24"/>
        </w:rPr>
        <w:t xml:space="preserve"> by changing </w:t>
      </w:r>
      <w:r w:rsidR="00CC1321" w:rsidRPr="00CC33DB">
        <w:rPr>
          <w:rFonts w:ascii="Times New Roman" w:hAnsi="Times New Roman"/>
          <w:sz w:val="24"/>
          <w:szCs w:val="24"/>
        </w:rPr>
        <w:t>the</w:t>
      </w:r>
      <w:r w:rsidR="004D6C3C">
        <w:rPr>
          <w:rFonts w:ascii="Times New Roman" w:hAnsi="Times New Roman"/>
          <w:sz w:val="24"/>
          <w:szCs w:val="24"/>
        </w:rPr>
        <w:t>ir</w:t>
      </w:r>
      <w:r w:rsidR="00CC1321" w:rsidRPr="00CC33DB">
        <w:rPr>
          <w:rFonts w:ascii="Times New Roman" w:hAnsi="Times New Roman"/>
          <w:sz w:val="24"/>
          <w:szCs w:val="24"/>
        </w:rPr>
        <w:t xml:space="preserve"> level of cas</w:t>
      </w:r>
      <w:r w:rsidR="00AE0B21">
        <w:rPr>
          <w:rFonts w:ascii="Times New Roman" w:hAnsi="Times New Roman"/>
          <w:sz w:val="24"/>
          <w:szCs w:val="24"/>
        </w:rPr>
        <w:t>h holdings (see Claessens et al</w:t>
      </w:r>
      <w:r w:rsidR="00CC1321" w:rsidRPr="00CC33DB">
        <w:rPr>
          <w:rFonts w:ascii="Times New Roman" w:hAnsi="Times New Roman"/>
          <w:sz w:val="24"/>
          <w:szCs w:val="24"/>
        </w:rPr>
        <w:t xml:space="preserve"> </w:t>
      </w:r>
      <w:r w:rsidR="001950B9">
        <w:rPr>
          <w:rFonts w:ascii="Times New Roman" w:hAnsi="Times New Roman"/>
          <w:sz w:val="24"/>
          <w:szCs w:val="24"/>
        </w:rPr>
        <w:t>(</w:t>
      </w:r>
      <w:r w:rsidR="00CC1321" w:rsidRPr="00CC33DB">
        <w:rPr>
          <w:rFonts w:ascii="Times New Roman" w:hAnsi="Times New Roman"/>
          <w:sz w:val="24"/>
          <w:szCs w:val="24"/>
        </w:rPr>
        <w:t>2012)</w:t>
      </w:r>
      <w:r w:rsidR="001950B9">
        <w:rPr>
          <w:rFonts w:ascii="Times New Roman" w:hAnsi="Times New Roman"/>
          <w:sz w:val="24"/>
          <w:szCs w:val="24"/>
        </w:rPr>
        <w:t>)</w:t>
      </w:r>
      <w:r w:rsidR="009A37AD">
        <w:rPr>
          <w:rFonts w:ascii="Times New Roman" w:hAnsi="Times New Roman"/>
          <w:sz w:val="24"/>
          <w:szCs w:val="24"/>
        </w:rPr>
        <w:t xml:space="preserve">, </w:t>
      </w:r>
      <w:r w:rsidR="004D6C3C">
        <w:rPr>
          <w:rFonts w:ascii="Times New Roman" w:hAnsi="Times New Roman"/>
          <w:sz w:val="24"/>
          <w:szCs w:val="24"/>
        </w:rPr>
        <w:t>we use</w:t>
      </w:r>
      <w:r w:rsidR="00CC1321" w:rsidRPr="00CC33DB">
        <w:rPr>
          <w:rFonts w:ascii="Times New Roman" w:hAnsi="Times New Roman"/>
          <w:sz w:val="24"/>
          <w:szCs w:val="24"/>
        </w:rPr>
        <w:t xml:space="preserve"> the pre-crisis values (i.e. </w:t>
      </w:r>
      <w:r>
        <w:rPr>
          <w:rFonts w:ascii="Times New Roman" w:hAnsi="Times New Roman"/>
          <w:sz w:val="24"/>
          <w:szCs w:val="24"/>
        </w:rPr>
        <w:t>year 2006) of s</w:t>
      </w:r>
      <w:r w:rsidR="00CC1321" w:rsidRPr="00CC33DB">
        <w:rPr>
          <w:rFonts w:ascii="Times New Roman" w:hAnsi="Times New Roman"/>
          <w:sz w:val="24"/>
          <w:szCs w:val="24"/>
        </w:rPr>
        <w:t>ize</w:t>
      </w:r>
      <w:r w:rsidR="00FF379D">
        <w:rPr>
          <w:rFonts w:ascii="Times New Roman" w:hAnsi="Times New Roman"/>
          <w:sz w:val="24"/>
          <w:szCs w:val="24"/>
        </w:rPr>
        <w:t>, age</w:t>
      </w:r>
      <w:r w:rsidR="00CC1321" w:rsidRPr="00CC33DB">
        <w:rPr>
          <w:rFonts w:ascii="Times New Roman" w:hAnsi="Times New Roman"/>
          <w:sz w:val="24"/>
          <w:szCs w:val="24"/>
        </w:rPr>
        <w:t xml:space="preserve"> and cash holdings/total assets. </w:t>
      </w:r>
      <w:r w:rsidR="00850902">
        <w:rPr>
          <w:rFonts w:ascii="Times New Roman" w:hAnsi="Times New Roman"/>
          <w:sz w:val="24"/>
          <w:szCs w:val="24"/>
        </w:rPr>
        <w:t>This also correct</w:t>
      </w:r>
      <w:r>
        <w:rPr>
          <w:rFonts w:ascii="Times New Roman" w:hAnsi="Times New Roman"/>
          <w:sz w:val="24"/>
          <w:szCs w:val="24"/>
        </w:rPr>
        <w:t>s</w:t>
      </w:r>
      <w:r w:rsidR="00850902">
        <w:rPr>
          <w:rFonts w:ascii="Times New Roman" w:hAnsi="Times New Roman"/>
          <w:sz w:val="24"/>
          <w:szCs w:val="24"/>
        </w:rPr>
        <w:t xml:space="preserve"> for </w:t>
      </w:r>
      <w:r>
        <w:rPr>
          <w:rFonts w:ascii="Times New Roman" w:hAnsi="Times New Roman"/>
          <w:sz w:val="24"/>
          <w:szCs w:val="24"/>
        </w:rPr>
        <w:t xml:space="preserve">possible </w:t>
      </w:r>
      <w:r w:rsidR="00850902">
        <w:rPr>
          <w:rFonts w:ascii="Times New Roman" w:hAnsi="Times New Roman"/>
          <w:sz w:val="24"/>
          <w:szCs w:val="24"/>
        </w:rPr>
        <w:t>reverse causality between the change in capital expenditure and cash holdings.</w:t>
      </w:r>
      <w:r w:rsidR="00CC1321" w:rsidRPr="00CC33DB">
        <w:rPr>
          <w:rFonts w:ascii="Times New Roman" w:hAnsi="Times New Roman"/>
          <w:sz w:val="24"/>
          <w:szCs w:val="24"/>
        </w:rPr>
        <w:t xml:space="preserve"> The results, presented in Table 2 are not substantially changed. </w:t>
      </w:r>
    </w:p>
    <w:p w:rsidR="00885B3F" w:rsidRDefault="00CC1321" w:rsidP="00836EFB">
      <w:pPr>
        <w:jc w:val="both"/>
        <w:rPr>
          <w:rFonts w:ascii="Times New Roman" w:hAnsi="Times New Roman"/>
          <w:sz w:val="24"/>
          <w:szCs w:val="24"/>
        </w:rPr>
      </w:pPr>
      <w:r w:rsidRPr="002B52BC">
        <w:rPr>
          <w:rFonts w:ascii="Times New Roman" w:hAnsi="Times New Roman"/>
          <w:sz w:val="24"/>
          <w:szCs w:val="24"/>
        </w:rPr>
        <w:t>Second</w:t>
      </w:r>
      <w:r w:rsidR="004D6C3C">
        <w:rPr>
          <w:rFonts w:ascii="Times New Roman" w:hAnsi="Times New Roman"/>
          <w:sz w:val="24"/>
          <w:szCs w:val="24"/>
        </w:rPr>
        <w:t>ly</w:t>
      </w:r>
      <w:r w:rsidRPr="002B52BC">
        <w:rPr>
          <w:rFonts w:ascii="Times New Roman" w:hAnsi="Times New Roman"/>
          <w:sz w:val="24"/>
          <w:szCs w:val="24"/>
        </w:rPr>
        <w:t xml:space="preserve">, we analyze </w:t>
      </w:r>
      <w:r w:rsidR="009A37AD">
        <w:rPr>
          <w:rFonts w:ascii="Times New Roman" w:hAnsi="Times New Roman"/>
          <w:sz w:val="24"/>
          <w:szCs w:val="24"/>
        </w:rPr>
        <w:t>the impact of access to public debt as a substitution channel</w:t>
      </w:r>
      <w:r w:rsidRPr="002B52BC">
        <w:rPr>
          <w:rFonts w:ascii="Times New Roman" w:hAnsi="Times New Roman"/>
          <w:sz w:val="24"/>
          <w:szCs w:val="24"/>
        </w:rPr>
        <w:t>. We follow Chava and Purnanandam (2011)</w:t>
      </w:r>
      <w:r w:rsidR="005D4F34">
        <w:rPr>
          <w:rFonts w:ascii="Times New Roman" w:hAnsi="Times New Roman"/>
          <w:sz w:val="24"/>
          <w:szCs w:val="24"/>
        </w:rPr>
        <w:t xml:space="preserve"> and use the absence of credit rating as a proxy for a lack of access to public debt.</w:t>
      </w:r>
      <w:r w:rsidRPr="002B52BC">
        <w:rPr>
          <w:rFonts w:ascii="Times New Roman" w:hAnsi="Times New Roman"/>
          <w:sz w:val="24"/>
          <w:szCs w:val="24"/>
        </w:rPr>
        <w:t xml:space="preserve"> </w:t>
      </w:r>
      <w:r w:rsidR="006829B2">
        <w:rPr>
          <w:rFonts w:ascii="Times New Roman" w:hAnsi="Times New Roman"/>
          <w:sz w:val="24"/>
          <w:szCs w:val="24"/>
        </w:rPr>
        <w:t>F</w:t>
      </w:r>
      <w:r w:rsidRPr="002B52BC">
        <w:rPr>
          <w:rFonts w:ascii="Times New Roman" w:hAnsi="Times New Roman"/>
          <w:sz w:val="24"/>
          <w:szCs w:val="24"/>
        </w:rPr>
        <w:t xml:space="preserve">irms </w:t>
      </w:r>
      <w:r w:rsidRPr="005C2DD0">
        <w:rPr>
          <w:rFonts w:ascii="Times New Roman" w:hAnsi="Times New Roman"/>
          <w:i/>
          <w:sz w:val="24"/>
          <w:szCs w:val="24"/>
        </w:rPr>
        <w:t>without</w:t>
      </w:r>
      <w:r w:rsidRPr="002B52BC">
        <w:rPr>
          <w:rFonts w:ascii="Times New Roman" w:hAnsi="Times New Roman"/>
          <w:sz w:val="24"/>
          <w:szCs w:val="24"/>
        </w:rPr>
        <w:t xml:space="preserve"> credit ratings, show negative and statistically significant </w:t>
      </w:r>
      <w:r w:rsidR="005C2DD0">
        <w:rPr>
          <w:rFonts w:ascii="Times New Roman" w:hAnsi="Times New Roman"/>
          <w:sz w:val="24"/>
          <w:szCs w:val="24"/>
        </w:rPr>
        <w:t xml:space="preserve">coefficient of the </w:t>
      </w:r>
      <w:r w:rsidRPr="002B52BC">
        <w:rPr>
          <w:rFonts w:ascii="Times New Roman" w:hAnsi="Times New Roman"/>
          <w:sz w:val="24"/>
          <w:szCs w:val="24"/>
        </w:rPr>
        <w:t>banks distress</w:t>
      </w:r>
      <w:r w:rsidR="005C2DD0">
        <w:rPr>
          <w:rFonts w:ascii="Times New Roman" w:hAnsi="Times New Roman"/>
          <w:sz w:val="24"/>
          <w:szCs w:val="24"/>
        </w:rPr>
        <w:t xml:space="preserve"> variable</w:t>
      </w:r>
      <w:r w:rsidRPr="002B52BC">
        <w:rPr>
          <w:rFonts w:ascii="Times New Roman" w:hAnsi="Times New Roman"/>
          <w:sz w:val="24"/>
          <w:szCs w:val="24"/>
        </w:rPr>
        <w:t xml:space="preserve">. </w:t>
      </w:r>
      <w:r w:rsidR="00BD66E6">
        <w:rPr>
          <w:rFonts w:ascii="Times New Roman" w:hAnsi="Times New Roman"/>
          <w:sz w:val="24"/>
          <w:szCs w:val="24"/>
        </w:rPr>
        <w:t>Conversely, f</w:t>
      </w:r>
      <w:r w:rsidR="005C2DD0" w:rsidRPr="002B52BC">
        <w:rPr>
          <w:rFonts w:ascii="Times New Roman" w:hAnsi="Times New Roman"/>
          <w:sz w:val="24"/>
          <w:szCs w:val="24"/>
        </w:rPr>
        <w:t xml:space="preserve">irms </w:t>
      </w:r>
      <w:r w:rsidR="005C2DD0" w:rsidRPr="005C2DD0">
        <w:rPr>
          <w:rFonts w:ascii="Times New Roman" w:hAnsi="Times New Roman"/>
          <w:i/>
          <w:sz w:val="24"/>
          <w:szCs w:val="24"/>
        </w:rPr>
        <w:t>with</w:t>
      </w:r>
      <w:r w:rsidR="005C2DD0" w:rsidRPr="002B52BC">
        <w:rPr>
          <w:rFonts w:ascii="Times New Roman" w:hAnsi="Times New Roman"/>
          <w:sz w:val="24"/>
          <w:szCs w:val="24"/>
        </w:rPr>
        <w:t xml:space="preserve"> access to public debt markets </w:t>
      </w:r>
      <w:r w:rsidR="00BD66E6">
        <w:rPr>
          <w:rFonts w:ascii="Times New Roman" w:hAnsi="Times New Roman"/>
          <w:sz w:val="24"/>
          <w:szCs w:val="24"/>
        </w:rPr>
        <w:t>are</w:t>
      </w:r>
      <w:r w:rsidR="005C2DD0" w:rsidRPr="002B52BC">
        <w:rPr>
          <w:rFonts w:ascii="Times New Roman" w:hAnsi="Times New Roman"/>
          <w:sz w:val="24"/>
          <w:szCs w:val="24"/>
        </w:rPr>
        <w:t xml:space="preserve"> </w:t>
      </w:r>
      <w:r w:rsidR="0086376E">
        <w:rPr>
          <w:rFonts w:ascii="Times New Roman" w:hAnsi="Times New Roman"/>
          <w:sz w:val="24"/>
          <w:szCs w:val="24"/>
        </w:rPr>
        <w:t>not impacted by bank distress</w:t>
      </w:r>
      <w:r w:rsidR="005D4F34">
        <w:rPr>
          <w:rFonts w:ascii="Times New Roman" w:hAnsi="Times New Roman"/>
          <w:sz w:val="24"/>
          <w:szCs w:val="24"/>
        </w:rPr>
        <w:t xml:space="preserve"> (Table 3)</w:t>
      </w:r>
      <w:r w:rsidR="0086376E">
        <w:rPr>
          <w:rFonts w:ascii="Times New Roman" w:hAnsi="Times New Roman"/>
          <w:sz w:val="24"/>
          <w:szCs w:val="24"/>
        </w:rPr>
        <w:t xml:space="preserve">. </w:t>
      </w:r>
    </w:p>
    <w:p w:rsidR="00836EFB" w:rsidRPr="00836EFB" w:rsidRDefault="00952697" w:rsidP="00885B3F">
      <w:pPr>
        <w:jc w:val="both"/>
        <w:rPr>
          <w:rFonts w:ascii="Times New Roman" w:hAnsi="Times New Roman"/>
          <w:sz w:val="24"/>
          <w:szCs w:val="24"/>
        </w:rPr>
      </w:pPr>
      <w:r>
        <w:rPr>
          <w:rFonts w:ascii="Times New Roman" w:hAnsi="Times New Roman"/>
          <w:sz w:val="24"/>
          <w:szCs w:val="24"/>
        </w:rPr>
        <w:t>T</w:t>
      </w:r>
      <w:r w:rsidR="00BD66E6">
        <w:rPr>
          <w:rFonts w:ascii="Times New Roman" w:hAnsi="Times New Roman"/>
          <w:sz w:val="24"/>
          <w:szCs w:val="24"/>
        </w:rPr>
        <w:t>o address</w:t>
      </w:r>
      <w:r w:rsidR="005F4C76" w:rsidRPr="00836EFB">
        <w:rPr>
          <w:rFonts w:ascii="Times New Roman" w:hAnsi="Times New Roman"/>
          <w:sz w:val="24"/>
          <w:szCs w:val="24"/>
        </w:rPr>
        <w:t xml:space="preserve"> concerns about possible endogeneity</w:t>
      </w:r>
      <w:r w:rsidR="00D54989">
        <w:rPr>
          <w:rFonts w:ascii="Times New Roman" w:hAnsi="Times New Roman"/>
          <w:sz w:val="24"/>
          <w:szCs w:val="24"/>
        </w:rPr>
        <w:t xml:space="preserve"> </w:t>
      </w:r>
      <w:r w:rsidR="00836EFB">
        <w:rPr>
          <w:rFonts w:ascii="Times New Roman" w:hAnsi="Times New Roman"/>
          <w:sz w:val="24"/>
          <w:szCs w:val="24"/>
        </w:rPr>
        <w:t>we estimate a GMM regression</w:t>
      </w:r>
      <w:r w:rsidR="005D4F34">
        <w:rPr>
          <w:rStyle w:val="FootnoteReference"/>
          <w:rFonts w:ascii="Times New Roman" w:hAnsi="Times New Roman"/>
          <w:sz w:val="24"/>
          <w:szCs w:val="24"/>
        </w:rPr>
        <w:footnoteReference w:id="4"/>
      </w:r>
      <w:r w:rsidR="00836EFB">
        <w:rPr>
          <w:rFonts w:ascii="Times New Roman" w:hAnsi="Times New Roman"/>
          <w:sz w:val="24"/>
          <w:szCs w:val="24"/>
        </w:rPr>
        <w:t xml:space="preserve"> </w:t>
      </w:r>
      <w:r w:rsidR="005D4F34">
        <w:rPr>
          <w:rFonts w:ascii="Times New Roman" w:hAnsi="Times New Roman"/>
          <w:sz w:val="24"/>
          <w:szCs w:val="24"/>
        </w:rPr>
        <w:t xml:space="preserve"> for the initial specification, using</w:t>
      </w:r>
      <w:r w:rsidR="00921C50">
        <w:rPr>
          <w:rFonts w:ascii="Times New Roman" w:hAnsi="Times New Roman"/>
          <w:sz w:val="24"/>
          <w:szCs w:val="24"/>
        </w:rPr>
        <w:t xml:space="preserve"> </w:t>
      </w:r>
      <w:r w:rsidR="00836EFB">
        <w:rPr>
          <w:rFonts w:ascii="Times New Roman" w:hAnsi="Times New Roman"/>
          <w:sz w:val="24"/>
          <w:szCs w:val="24"/>
        </w:rPr>
        <w:t>the lag of bank distress variable as an instrument</w:t>
      </w:r>
      <w:r w:rsidR="005D4F34">
        <w:rPr>
          <w:rFonts w:ascii="Times New Roman" w:hAnsi="Times New Roman"/>
          <w:sz w:val="24"/>
          <w:szCs w:val="24"/>
        </w:rPr>
        <w:t>.</w:t>
      </w:r>
      <w:r w:rsidR="00836EFB">
        <w:rPr>
          <w:rFonts w:ascii="Times New Roman" w:hAnsi="Times New Roman"/>
          <w:sz w:val="24"/>
          <w:szCs w:val="24"/>
        </w:rPr>
        <w:t xml:space="preserve"> The results, presented in Table 4, confirm our previous findings</w:t>
      </w:r>
      <w:r w:rsidR="00BD66E6">
        <w:rPr>
          <w:rFonts w:ascii="Times New Roman" w:hAnsi="Times New Roman"/>
          <w:sz w:val="24"/>
          <w:szCs w:val="24"/>
        </w:rPr>
        <w:t>.</w:t>
      </w:r>
    </w:p>
    <w:p w:rsidR="00885B3F" w:rsidRPr="002B52BC" w:rsidRDefault="00885B3F" w:rsidP="00885B3F">
      <w:pPr>
        <w:jc w:val="both"/>
        <w:rPr>
          <w:rFonts w:ascii="Times New Roman" w:hAnsi="Times New Roman"/>
          <w:sz w:val="24"/>
          <w:szCs w:val="24"/>
        </w:rPr>
      </w:pPr>
    </w:p>
    <w:p w:rsidR="00CC1321" w:rsidRPr="002B52BC" w:rsidRDefault="004A38D4" w:rsidP="00AD7FE6">
      <w:pPr>
        <w:jc w:val="both"/>
        <w:rPr>
          <w:rFonts w:ascii="Times New Roman" w:hAnsi="Times New Roman"/>
          <w:b/>
          <w:i/>
          <w:sz w:val="24"/>
          <w:szCs w:val="24"/>
        </w:rPr>
      </w:pPr>
      <w:r w:rsidRPr="002B52BC">
        <w:rPr>
          <w:rFonts w:ascii="Times New Roman" w:hAnsi="Times New Roman"/>
          <w:b/>
          <w:sz w:val="24"/>
          <w:szCs w:val="24"/>
        </w:rPr>
        <w:t xml:space="preserve">5. </w:t>
      </w:r>
      <w:r w:rsidR="00CC1321" w:rsidRPr="002B52BC">
        <w:rPr>
          <w:rFonts w:ascii="Times New Roman" w:hAnsi="Times New Roman"/>
          <w:b/>
          <w:sz w:val="24"/>
          <w:szCs w:val="24"/>
        </w:rPr>
        <w:t>Conclusions</w:t>
      </w:r>
    </w:p>
    <w:p w:rsidR="00F56667" w:rsidRPr="002B52BC" w:rsidRDefault="00976934" w:rsidP="00F56667">
      <w:pPr>
        <w:jc w:val="both"/>
        <w:rPr>
          <w:rFonts w:ascii="Times New Roman" w:hAnsi="Times New Roman"/>
          <w:sz w:val="24"/>
          <w:szCs w:val="24"/>
        </w:rPr>
      </w:pPr>
      <w:r>
        <w:rPr>
          <w:rFonts w:ascii="Times New Roman" w:hAnsi="Times New Roman"/>
          <w:sz w:val="24"/>
          <w:szCs w:val="24"/>
        </w:rPr>
        <w:t xml:space="preserve">This </w:t>
      </w:r>
      <w:r w:rsidR="00CC1321" w:rsidRPr="002B52BC">
        <w:rPr>
          <w:rFonts w:ascii="Times New Roman" w:hAnsi="Times New Roman"/>
          <w:sz w:val="24"/>
          <w:szCs w:val="24"/>
        </w:rPr>
        <w:t>paper ask</w:t>
      </w:r>
      <w:r>
        <w:rPr>
          <w:rFonts w:ascii="Times New Roman" w:hAnsi="Times New Roman"/>
          <w:sz w:val="24"/>
          <w:szCs w:val="24"/>
        </w:rPr>
        <w:t>s</w:t>
      </w:r>
      <w:r w:rsidR="00CC1321" w:rsidRPr="002B52BC">
        <w:rPr>
          <w:rFonts w:ascii="Times New Roman" w:hAnsi="Times New Roman"/>
          <w:sz w:val="24"/>
          <w:szCs w:val="24"/>
        </w:rPr>
        <w:t xml:space="preserve"> </w:t>
      </w:r>
      <w:r>
        <w:rPr>
          <w:rFonts w:ascii="Times New Roman" w:hAnsi="Times New Roman"/>
          <w:sz w:val="24"/>
          <w:szCs w:val="24"/>
        </w:rPr>
        <w:t>if</w:t>
      </w:r>
      <w:r w:rsidR="00CC1321" w:rsidRPr="002B52BC">
        <w:rPr>
          <w:rFonts w:ascii="Times New Roman" w:hAnsi="Times New Roman"/>
          <w:sz w:val="24"/>
          <w:szCs w:val="24"/>
        </w:rPr>
        <w:t xml:space="preserve"> bank distress</w:t>
      </w:r>
      <w:r w:rsidR="006F57F0">
        <w:rPr>
          <w:rFonts w:ascii="Times New Roman" w:hAnsi="Times New Roman"/>
          <w:sz w:val="24"/>
          <w:szCs w:val="24"/>
        </w:rPr>
        <w:t xml:space="preserve"> restrict</w:t>
      </w:r>
      <w:r>
        <w:rPr>
          <w:rFonts w:ascii="Times New Roman" w:hAnsi="Times New Roman"/>
          <w:sz w:val="24"/>
          <w:szCs w:val="24"/>
        </w:rPr>
        <w:t>s</w:t>
      </w:r>
      <w:r w:rsidR="006F57F0">
        <w:rPr>
          <w:rFonts w:ascii="Times New Roman" w:hAnsi="Times New Roman"/>
          <w:sz w:val="24"/>
          <w:szCs w:val="24"/>
        </w:rPr>
        <w:t xml:space="preserve"> </w:t>
      </w:r>
      <w:r w:rsidR="006829B2">
        <w:rPr>
          <w:rFonts w:ascii="Times New Roman" w:hAnsi="Times New Roman"/>
          <w:sz w:val="24"/>
          <w:szCs w:val="24"/>
        </w:rPr>
        <w:t>Irish</w:t>
      </w:r>
      <w:r w:rsidR="00CC1321" w:rsidRPr="002B52BC">
        <w:rPr>
          <w:rFonts w:ascii="Times New Roman" w:hAnsi="Times New Roman"/>
          <w:sz w:val="24"/>
          <w:szCs w:val="24"/>
        </w:rPr>
        <w:t xml:space="preserve"> firms’ investments</w:t>
      </w:r>
      <w:r w:rsidR="006F57F0">
        <w:rPr>
          <w:rFonts w:ascii="Times New Roman" w:hAnsi="Times New Roman"/>
          <w:sz w:val="24"/>
          <w:szCs w:val="24"/>
        </w:rPr>
        <w:t xml:space="preserve"> by transmitting a shock from the banking sector into the real economy</w:t>
      </w:r>
      <w:r w:rsidR="005D4F34">
        <w:rPr>
          <w:rFonts w:ascii="Times New Roman" w:hAnsi="Times New Roman"/>
          <w:sz w:val="24"/>
          <w:szCs w:val="24"/>
        </w:rPr>
        <w:t>.</w:t>
      </w:r>
      <w:r w:rsidR="00CC1321" w:rsidRPr="002B52BC">
        <w:rPr>
          <w:rFonts w:ascii="Times New Roman" w:hAnsi="Times New Roman"/>
          <w:sz w:val="24"/>
          <w:szCs w:val="24"/>
        </w:rPr>
        <w:t xml:space="preserve"> We find that bank distress, proxied by market CDS </w:t>
      </w:r>
      <w:r w:rsidR="00770670">
        <w:rPr>
          <w:rFonts w:ascii="Times New Roman" w:hAnsi="Times New Roman"/>
          <w:sz w:val="24"/>
          <w:szCs w:val="24"/>
        </w:rPr>
        <w:t xml:space="preserve">spreads </w:t>
      </w:r>
      <w:r w:rsidR="00CC1321" w:rsidRPr="002B52BC">
        <w:rPr>
          <w:rFonts w:ascii="Times New Roman" w:hAnsi="Times New Roman"/>
          <w:sz w:val="24"/>
          <w:szCs w:val="24"/>
        </w:rPr>
        <w:t>resulted in lower investments by firms</w:t>
      </w:r>
      <w:r w:rsidR="005D4F34">
        <w:rPr>
          <w:rFonts w:ascii="Times New Roman" w:hAnsi="Times New Roman"/>
          <w:sz w:val="24"/>
          <w:szCs w:val="24"/>
        </w:rPr>
        <w:t>,</w:t>
      </w:r>
      <w:r w:rsidR="006829B2" w:rsidRPr="006829B2">
        <w:rPr>
          <w:rFonts w:ascii="Times New Roman" w:hAnsi="Times New Roman"/>
          <w:sz w:val="24"/>
          <w:szCs w:val="24"/>
        </w:rPr>
        <w:t xml:space="preserve"> </w:t>
      </w:r>
      <w:r w:rsidR="006829B2">
        <w:rPr>
          <w:rFonts w:ascii="Times New Roman" w:hAnsi="Times New Roman"/>
          <w:sz w:val="24"/>
          <w:szCs w:val="24"/>
        </w:rPr>
        <w:t>but only in the case of firms dependent on banks for external finance, i.e. firms with no access to public debt</w:t>
      </w:r>
      <w:r w:rsidR="00CC1321" w:rsidRPr="002B52BC">
        <w:rPr>
          <w:rFonts w:ascii="Times New Roman" w:hAnsi="Times New Roman"/>
          <w:sz w:val="24"/>
          <w:szCs w:val="24"/>
        </w:rPr>
        <w:t>.</w:t>
      </w:r>
      <w:r w:rsidR="005D4F34">
        <w:rPr>
          <w:rFonts w:ascii="Times New Roman" w:hAnsi="Times New Roman"/>
          <w:sz w:val="24"/>
          <w:szCs w:val="24"/>
        </w:rPr>
        <w:t xml:space="preserve"> </w:t>
      </w:r>
      <w:r w:rsidR="00F56667">
        <w:rPr>
          <w:rFonts w:ascii="Times New Roman" w:hAnsi="Times New Roman"/>
          <w:sz w:val="24"/>
          <w:szCs w:val="24"/>
        </w:rPr>
        <w:t xml:space="preserve">The size of the effect on </w:t>
      </w:r>
      <w:r w:rsidR="005D4F34">
        <w:rPr>
          <w:rFonts w:ascii="Times New Roman" w:hAnsi="Times New Roman"/>
          <w:sz w:val="24"/>
          <w:szCs w:val="24"/>
        </w:rPr>
        <w:t>c</w:t>
      </w:r>
      <w:r w:rsidR="00F56667">
        <w:rPr>
          <w:rFonts w:ascii="Times New Roman" w:hAnsi="Times New Roman"/>
          <w:sz w:val="24"/>
          <w:szCs w:val="24"/>
        </w:rPr>
        <w:t xml:space="preserve">apital expenditure reduction is significant in magnitude as well. The results indicate a 100 basis point increase in the level of the CDS swap spread on 5 Year Senior Debt translated to $3.3 m fall in expenditure on investment. </w:t>
      </w:r>
    </w:p>
    <w:p w:rsidR="00CC1321" w:rsidRPr="002B52BC" w:rsidRDefault="00CC1321" w:rsidP="00AD7FE6">
      <w:pPr>
        <w:jc w:val="both"/>
        <w:rPr>
          <w:rFonts w:ascii="Times New Roman" w:hAnsi="Times New Roman"/>
          <w:sz w:val="24"/>
          <w:szCs w:val="24"/>
        </w:rPr>
      </w:pPr>
      <w:r w:rsidRPr="002B52BC">
        <w:rPr>
          <w:rFonts w:ascii="Times New Roman" w:hAnsi="Times New Roman"/>
          <w:sz w:val="24"/>
          <w:szCs w:val="24"/>
        </w:rPr>
        <w:t>The results are robust to accounting for various other firms’ characteristics and channels through which the great recession spread across borders and impacted firms’ capital expenditure and loan demand.</w:t>
      </w:r>
      <w:r w:rsidR="00976934">
        <w:rPr>
          <w:rFonts w:ascii="Times New Roman" w:hAnsi="Times New Roman"/>
          <w:sz w:val="24"/>
          <w:szCs w:val="24"/>
        </w:rPr>
        <w:t xml:space="preserve"> </w:t>
      </w:r>
      <w:r w:rsidRPr="002B52BC">
        <w:rPr>
          <w:rFonts w:ascii="Times New Roman" w:hAnsi="Times New Roman"/>
          <w:sz w:val="24"/>
          <w:szCs w:val="24"/>
        </w:rPr>
        <w:t xml:space="preserve">These findings highlight the importance of </w:t>
      </w:r>
      <w:r w:rsidR="00976934">
        <w:rPr>
          <w:rFonts w:ascii="Times New Roman" w:hAnsi="Times New Roman"/>
          <w:sz w:val="24"/>
          <w:szCs w:val="24"/>
        </w:rPr>
        <w:t xml:space="preserve">banks </w:t>
      </w:r>
      <w:r w:rsidRPr="002B52BC">
        <w:rPr>
          <w:rFonts w:ascii="Times New Roman" w:hAnsi="Times New Roman"/>
          <w:sz w:val="24"/>
          <w:szCs w:val="24"/>
        </w:rPr>
        <w:t>as pr</w:t>
      </w:r>
      <w:r w:rsidR="00FE7380">
        <w:rPr>
          <w:rFonts w:ascii="Times New Roman" w:hAnsi="Times New Roman"/>
          <w:sz w:val="24"/>
          <w:szCs w:val="24"/>
        </w:rPr>
        <w:t>ovider</w:t>
      </w:r>
      <w:r w:rsidR="00976934">
        <w:rPr>
          <w:rFonts w:ascii="Times New Roman" w:hAnsi="Times New Roman"/>
          <w:sz w:val="24"/>
          <w:szCs w:val="24"/>
        </w:rPr>
        <w:t>s</w:t>
      </w:r>
      <w:r w:rsidR="00FE7380">
        <w:rPr>
          <w:rFonts w:ascii="Times New Roman" w:hAnsi="Times New Roman"/>
          <w:sz w:val="24"/>
          <w:szCs w:val="24"/>
        </w:rPr>
        <w:t xml:space="preserve"> of funds for </w:t>
      </w:r>
      <w:r w:rsidR="00976934">
        <w:rPr>
          <w:rFonts w:ascii="Times New Roman" w:hAnsi="Times New Roman"/>
          <w:sz w:val="24"/>
          <w:szCs w:val="24"/>
        </w:rPr>
        <w:t xml:space="preserve">Irish </w:t>
      </w:r>
      <w:r w:rsidR="00FE7380">
        <w:rPr>
          <w:rFonts w:ascii="Times New Roman" w:hAnsi="Times New Roman"/>
          <w:sz w:val="24"/>
          <w:szCs w:val="24"/>
        </w:rPr>
        <w:t>firms’ investments.</w:t>
      </w:r>
      <w:r w:rsidR="00770670">
        <w:rPr>
          <w:rFonts w:ascii="Times New Roman" w:hAnsi="Times New Roman"/>
          <w:sz w:val="24"/>
          <w:szCs w:val="24"/>
        </w:rPr>
        <w:t xml:space="preserve"> </w:t>
      </w:r>
    </w:p>
    <w:p w:rsidR="008D78F1" w:rsidRDefault="008D78F1" w:rsidP="00AD7FE6">
      <w:pPr>
        <w:jc w:val="both"/>
        <w:rPr>
          <w:rFonts w:ascii="Times New Roman" w:hAnsi="Times New Roman"/>
          <w:sz w:val="24"/>
          <w:szCs w:val="24"/>
        </w:rPr>
      </w:pPr>
    </w:p>
    <w:p w:rsidR="00FF379D" w:rsidRDefault="00FF379D" w:rsidP="00AD7FE6">
      <w:pPr>
        <w:jc w:val="both"/>
        <w:rPr>
          <w:rFonts w:ascii="Times New Roman" w:hAnsi="Times New Roman"/>
          <w:sz w:val="24"/>
          <w:szCs w:val="24"/>
        </w:rPr>
      </w:pPr>
    </w:p>
    <w:p w:rsidR="00CC1321" w:rsidRPr="002B52BC" w:rsidRDefault="00CC1321" w:rsidP="00AD7FE6">
      <w:pPr>
        <w:jc w:val="both"/>
        <w:rPr>
          <w:rFonts w:ascii="Times New Roman" w:hAnsi="Times New Roman"/>
          <w:b/>
          <w:sz w:val="24"/>
          <w:szCs w:val="24"/>
        </w:rPr>
      </w:pPr>
      <w:r w:rsidRPr="002B52BC">
        <w:rPr>
          <w:rFonts w:ascii="Times New Roman" w:hAnsi="Times New Roman"/>
          <w:b/>
          <w:sz w:val="24"/>
          <w:szCs w:val="24"/>
        </w:rPr>
        <w:t>References</w:t>
      </w:r>
    </w:p>
    <w:p w:rsidR="00FC1FF5" w:rsidRPr="003E00FD" w:rsidRDefault="00FA29D3" w:rsidP="00AD7FE6">
      <w:pPr>
        <w:jc w:val="both"/>
        <w:rPr>
          <w:rFonts w:ascii="Times New Roman" w:eastAsia="Times New Roman" w:hAnsi="Times New Roman"/>
          <w:sz w:val="24"/>
          <w:szCs w:val="24"/>
          <w:lang w:val="en-GB"/>
        </w:rPr>
      </w:pPr>
      <w:r w:rsidRPr="00FA29D3">
        <w:rPr>
          <w:rFonts w:ascii="Times New Roman" w:eastAsia="Times New Roman" w:hAnsi="Times New Roman"/>
          <w:sz w:val="24"/>
          <w:szCs w:val="24"/>
          <w:lang w:val="en-GB"/>
        </w:rPr>
        <w:t>Acharya, Viral V. and Eisert, Tim and Eufinger, Chri</w:t>
      </w:r>
      <w:r w:rsidR="00D41B3A">
        <w:rPr>
          <w:rFonts w:ascii="Times New Roman" w:eastAsia="Times New Roman" w:hAnsi="Times New Roman"/>
          <w:sz w:val="24"/>
          <w:szCs w:val="24"/>
          <w:lang w:val="en-GB"/>
        </w:rPr>
        <w:t>stian and Hirsch, Christian W.,</w:t>
      </w:r>
      <w:r w:rsidR="008E2AC3">
        <w:rPr>
          <w:rFonts w:ascii="Times New Roman" w:eastAsia="Times New Roman" w:hAnsi="Times New Roman"/>
          <w:sz w:val="24"/>
          <w:szCs w:val="24"/>
          <w:lang w:val="en-GB"/>
        </w:rPr>
        <w:t xml:space="preserve"> 2014. </w:t>
      </w:r>
      <w:r w:rsidRPr="00FA29D3">
        <w:rPr>
          <w:rFonts w:ascii="Times New Roman" w:eastAsia="Times New Roman" w:hAnsi="Times New Roman"/>
          <w:sz w:val="24"/>
          <w:szCs w:val="24"/>
          <w:lang w:val="en-GB"/>
        </w:rPr>
        <w:t>Real Effects of the Sovereign Debt Crisis in Europe: Evidence from Syndicated Loans</w:t>
      </w:r>
      <w:r w:rsidR="008E2AC3">
        <w:rPr>
          <w:rFonts w:ascii="Times New Roman" w:eastAsia="Times New Roman" w:hAnsi="Times New Roman"/>
          <w:sz w:val="24"/>
          <w:szCs w:val="24"/>
          <w:lang w:val="en-GB"/>
        </w:rPr>
        <w:t>,</w:t>
      </w:r>
      <w:r w:rsidRPr="00FA29D3">
        <w:rPr>
          <w:rFonts w:ascii="Times New Roman" w:eastAsia="Times New Roman" w:hAnsi="Times New Roman"/>
          <w:sz w:val="24"/>
          <w:szCs w:val="24"/>
          <w:lang w:val="en-GB"/>
        </w:rPr>
        <w:t xml:space="preserve"> CEPR Discussion Paper No. DP10108.</w:t>
      </w:r>
    </w:p>
    <w:p w:rsidR="00921C50" w:rsidRPr="003E00FD" w:rsidRDefault="008E2AC3" w:rsidP="008E2AC3">
      <w:pPr>
        <w:jc w:val="both"/>
        <w:rPr>
          <w:rFonts w:ascii="Times New Roman" w:hAnsi="Times New Roman"/>
          <w:sz w:val="24"/>
          <w:szCs w:val="24"/>
        </w:rPr>
      </w:pPr>
      <w:r w:rsidRPr="008E2AC3">
        <w:rPr>
          <w:rFonts w:ascii="Times New Roman" w:hAnsi="Times New Roman"/>
          <w:sz w:val="24"/>
          <w:szCs w:val="24"/>
        </w:rPr>
        <w:t>Blundell, Richard, and Stephen Bond, 1998, Initial conditions and moment restrictions in dynamic panel data model,</w:t>
      </w:r>
      <w:r>
        <w:rPr>
          <w:rFonts w:ascii="Times New Roman" w:hAnsi="Times New Roman"/>
          <w:sz w:val="24"/>
          <w:szCs w:val="24"/>
        </w:rPr>
        <w:t xml:space="preserve"> Journal of Econometrics 87, 115-</w:t>
      </w:r>
      <w:r w:rsidRPr="008E2AC3">
        <w:rPr>
          <w:rFonts w:ascii="Times New Roman" w:hAnsi="Times New Roman"/>
          <w:sz w:val="24"/>
          <w:szCs w:val="24"/>
        </w:rPr>
        <w:t>143.</w:t>
      </w:r>
    </w:p>
    <w:p w:rsidR="00CC1321" w:rsidRPr="003E00FD" w:rsidRDefault="00CC1321" w:rsidP="00AD7FE6">
      <w:pPr>
        <w:jc w:val="both"/>
        <w:rPr>
          <w:rFonts w:ascii="Times New Roman" w:hAnsi="Times New Roman"/>
          <w:sz w:val="24"/>
          <w:szCs w:val="24"/>
        </w:rPr>
      </w:pPr>
      <w:r w:rsidRPr="003E00FD">
        <w:rPr>
          <w:rFonts w:ascii="Times New Roman" w:hAnsi="Times New Roman"/>
          <w:sz w:val="24"/>
          <w:szCs w:val="24"/>
        </w:rPr>
        <w:t>Carvalho, D. R., Ferreira, M.A. and P. Matos. (2014). "Lending Relationships and the Effect of Bank Distress: Evidence from the 2007-2008 Financial Crisis," Journal of Finan</w:t>
      </w:r>
      <w:r w:rsidR="001950B9">
        <w:rPr>
          <w:rFonts w:ascii="Times New Roman" w:hAnsi="Times New Roman"/>
          <w:sz w:val="24"/>
          <w:szCs w:val="24"/>
        </w:rPr>
        <w:t>cial and Quantitative Analysis</w:t>
      </w:r>
    </w:p>
    <w:p w:rsidR="00CC1321" w:rsidRPr="003E00FD" w:rsidRDefault="00CC1321" w:rsidP="00AD7FE6">
      <w:pPr>
        <w:spacing w:after="0" w:line="240" w:lineRule="auto"/>
        <w:jc w:val="both"/>
        <w:rPr>
          <w:rFonts w:ascii="Times New Roman" w:hAnsi="Times New Roman"/>
          <w:sz w:val="24"/>
          <w:szCs w:val="24"/>
        </w:rPr>
      </w:pPr>
      <w:r w:rsidRPr="003E00FD">
        <w:rPr>
          <w:rFonts w:ascii="Times New Roman" w:hAnsi="Times New Roman"/>
          <w:sz w:val="24"/>
          <w:szCs w:val="24"/>
        </w:rPr>
        <w:t>Chava, S., and A. Purnanandam. “The Effect of Banking Crisis on Bank Dependent Borrowers.”</w:t>
      </w:r>
    </w:p>
    <w:p w:rsidR="00CC1321" w:rsidRPr="003E00FD" w:rsidRDefault="00CC1321" w:rsidP="00AD7FE6">
      <w:pPr>
        <w:spacing w:after="0" w:line="240" w:lineRule="auto"/>
        <w:jc w:val="both"/>
        <w:rPr>
          <w:rFonts w:ascii="Times New Roman" w:hAnsi="Times New Roman"/>
          <w:sz w:val="24"/>
          <w:szCs w:val="24"/>
        </w:rPr>
      </w:pPr>
      <w:r w:rsidRPr="003E00FD">
        <w:rPr>
          <w:rFonts w:ascii="Times New Roman" w:hAnsi="Times New Roman"/>
          <w:sz w:val="24"/>
          <w:szCs w:val="24"/>
        </w:rPr>
        <w:t>Journal of Financial Economics, 99 (2011), 116–135.</w:t>
      </w:r>
    </w:p>
    <w:p w:rsidR="00CC1321" w:rsidRPr="003E00FD" w:rsidRDefault="00CC1321" w:rsidP="00AD7FE6">
      <w:pPr>
        <w:spacing w:after="0" w:line="240" w:lineRule="auto"/>
        <w:jc w:val="both"/>
        <w:rPr>
          <w:rFonts w:ascii="Times New Roman" w:hAnsi="Times New Roman"/>
          <w:sz w:val="24"/>
          <w:szCs w:val="24"/>
        </w:rPr>
      </w:pPr>
    </w:p>
    <w:p w:rsidR="00097C1E" w:rsidRDefault="003930F4" w:rsidP="00AD7FE6">
      <w:pPr>
        <w:jc w:val="both"/>
        <w:rPr>
          <w:rFonts w:ascii="Times New Roman" w:hAnsi="Times New Roman"/>
          <w:sz w:val="24"/>
          <w:szCs w:val="24"/>
        </w:rPr>
      </w:pPr>
      <w:r w:rsidRPr="003930F4">
        <w:rPr>
          <w:rFonts w:ascii="Times New Roman" w:hAnsi="Times New Roman"/>
          <w:sz w:val="24"/>
          <w:szCs w:val="24"/>
        </w:rPr>
        <w:t>Claessens, Stijn &amp; Tong, Hui &amp; Wei, Shang-Jin, 2012. "From the financial crisis to the real economy: Using firm-level data to identify transmission channels," Journal of International Economics, Elsevier, vol. 88(2), 375-387.</w:t>
      </w:r>
    </w:p>
    <w:p w:rsidR="00EF5AE9" w:rsidRPr="00593790" w:rsidRDefault="00EF5AE9" w:rsidP="00EF5AE9">
      <w:pPr>
        <w:jc w:val="both"/>
        <w:rPr>
          <w:rFonts w:ascii="Times New Roman" w:hAnsi="Times New Roman"/>
          <w:sz w:val="24"/>
        </w:rPr>
      </w:pPr>
      <w:r w:rsidRPr="00EF5AE9">
        <w:rPr>
          <w:rFonts w:ascii="Times New Roman" w:hAnsi="Times New Roman"/>
          <w:sz w:val="24"/>
        </w:rPr>
        <w:t>Gambacorta</w:t>
      </w:r>
      <w:r>
        <w:rPr>
          <w:rFonts w:ascii="Times New Roman" w:hAnsi="Times New Roman"/>
          <w:sz w:val="24"/>
        </w:rPr>
        <w:t xml:space="preserve">, L. and </w:t>
      </w:r>
      <w:r w:rsidRPr="00EF5AE9">
        <w:rPr>
          <w:rFonts w:ascii="Times New Roman" w:hAnsi="Times New Roman"/>
          <w:sz w:val="24"/>
        </w:rPr>
        <w:t>D</w:t>
      </w:r>
      <w:r>
        <w:rPr>
          <w:rFonts w:ascii="Times New Roman" w:hAnsi="Times New Roman"/>
          <w:sz w:val="24"/>
        </w:rPr>
        <w:t>.</w:t>
      </w:r>
      <w:r w:rsidRPr="00EF5AE9">
        <w:rPr>
          <w:rFonts w:ascii="Times New Roman" w:hAnsi="Times New Roman"/>
          <w:sz w:val="24"/>
        </w:rPr>
        <w:t xml:space="preserve"> Marques-Ibanez</w:t>
      </w:r>
      <w:r>
        <w:rPr>
          <w:rFonts w:ascii="Times New Roman" w:hAnsi="Times New Roman"/>
          <w:sz w:val="24"/>
        </w:rPr>
        <w:t>. 2011.”</w:t>
      </w:r>
      <w:r w:rsidRPr="00EF5AE9">
        <w:t xml:space="preserve"> </w:t>
      </w:r>
      <w:r w:rsidRPr="00EF5AE9">
        <w:rPr>
          <w:rFonts w:ascii="Times New Roman" w:hAnsi="Times New Roman"/>
          <w:sz w:val="24"/>
        </w:rPr>
        <w:t>T</w:t>
      </w:r>
      <w:r>
        <w:rPr>
          <w:rFonts w:ascii="Times New Roman" w:hAnsi="Times New Roman"/>
          <w:sz w:val="24"/>
        </w:rPr>
        <w:t>he</w:t>
      </w:r>
      <w:r w:rsidRPr="00EF5AE9">
        <w:rPr>
          <w:rFonts w:ascii="Times New Roman" w:hAnsi="Times New Roman"/>
          <w:sz w:val="24"/>
        </w:rPr>
        <w:t xml:space="preserve"> </w:t>
      </w:r>
      <w:r>
        <w:rPr>
          <w:rFonts w:ascii="Times New Roman" w:hAnsi="Times New Roman"/>
          <w:sz w:val="24"/>
        </w:rPr>
        <w:t xml:space="preserve">bank lending channel – Lessons from the crisis,” ECB Working Paper No. </w:t>
      </w:r>
      <w:r w:rsidRPr="00EF5AE9">
        <w:rPr>
          <w:rFonts w:ascii="Times New Roman" w:hAnsi="Times New Roman"/>
          <w:sz w:val="24"/>
        </w:rPr>
        <w:t>1335</w:t>
      </w:r>
      <w:r>
        <w:rPr>
          <w:rFonts w:ascii="Times New Roman" w:hAnsi="Times New Roman"/>
          <w:sz w:val="24"/>
        </w:rPr>
        <w:t>.</w:t>
      </w:r>
    </w:p>
    <w:p w:rsidR="00FC1FF5" w:rsidRDefault="00FC1FF5" w:rsidP="00FC1FF5">
      <w:pPr>
        <w:jc w:val="both"/>
        <w:rPr>
          <w:rFonts w:ascii="Times New Roman" w:hAnsi="Times New Roman"/>
          <w:sz w:val="24"/>
          <w:szCs w:val="24"/>
        </w:rPr>
      </w:pPr>
      <w:r w:rsidRPr="00097C1E">
        <w:rPr>
          <w:rFonts w:ascii="Times New Roman" w:hAnsi="Times New Roman"/>
          <w:sz w:val="24"/>
          <w:szCs w:val="24"/>
        </w:rPr>
        <w:t>Rajan, R., Zingales, L., 1998. Financial dependence and growth. American E</w:t>
      </w:r>
      <w:r>
        <w:rPr>
          <w:rFonts w:ascii="Times New Roman" w:hAnsi="Times New Roman"/>
          <w:sz w:val="24"/>
          <w:szCs w:val="24"/>
        </w:rPr>
        <w:t>conomic Review 88 (3), 559–586.</w:t>
      </w:r>
    </w:p>
    <w:p w:rsidR="00097C1E" w:rsidRDefault="00097C1E" w:rsidP="00097C1E">
      <w:pPr>
        <w:jc w:val="both"/>
        <w:rPr>
          <w:rFonts w:ascii="Times New Roman" w:hAnsi="Times New Roman"/>
          <w:sz w:val="24"/>
          <w:szCs w:val="24"/>
        </w:rPr>
      </w:pPr>
      <w:r w:rsidRPr="00097C1E">
        <w:rPr>
          <w:rFonts w:ascii="Times New Roman" w:hAnsi="Times New Roman"/>
          <w:sz w:val="24"/>
          <w:szCs w:val="24"/>
        </w:rPr>
        <w:t>Tong, H., Wei, S.-J., 2008. Real effects of the subprime mortgage crisis: is it a demand or a ﬁnance shock? NBER Working Paper No.14205, and IMF Working Paper 08/186.</w:t>
      </w:r>
    </w:p>
    <w:p w:rsidR="00ED673D" w:rsidRDefault="00ED673D" w:rsidP="00097C1E">
      <w:pPr>
        <w:jc w:val="both"/>
        <w:rPr>
          <w:rFonts w:ascii="Times New Roman" w:hAnsi="Times New Roman"/>
          <w:sz w:val="24"/>
          <w:szCs w:val="24"/>
        </w:rPr>
      </w:pPr>
    </w:p>
    <w:p w:rsidR="00ED673D" w:rsidRDefault="00ED673D" w:rsidP="00097C1E">
      <w:pPr>
        <w:jc w:val="both"/>
        <w:rPr>
          <w:rFonts w:ascii="Times New Roman" w:hAnsi="Times New Roman"/>
          <w:sz w:val="24"/>
          <w:szCs w:val="24"/>
        </w:rPr>
      </w:pPr>
    </w:p>
    <w:p w:rsidR="00ED673D" w:rsidRDefault="00ED673D" w:rsidP="00097C1E">
      <w:pPr>
        <w:jc w:val="both"/>
        <w:rPr>
          <w:rFonts w:ascii="Times New Roman" w:hAnsi="Times New Roman"/>
          <w:sz w:val="24"/>
          <w:szCs w:val="24"/>
        </w:rPr>
      </w:pPr>
    </w:p>
    <w:p w:rsidR="00ED673D" w:rsidRDefault="00ED673D" w:rsidP="00097C1E">
      <w:pPr>
        <w:jc w:val="both"/>
        <w:rPr>
          <w:rFonts w:ascii="Times New Roman" w:hAnsi="Times New Roman"/>
          <w:sz w:val="24"/>
          <w:szCs w:val="24"/>
        </w:rPr>
      </w:pPr>
    </w:p>
    <w:p w:rsidR="00ED673D" w:rsidRDefault="00ED673D" w:rsidP="00097C1E">
      <w:pPr>
        <w:jc w:val="both"/>
        <w:rPr>
          <w:rFonts w:ascii="Times New Roman" w:hAnsi="Times New Roman"/>
          <w:sz w:val="24"/>
          <w:szCs w:val="24"/>
        </w:rPr>
        <w:sectPr w:rsidR="00ED673D" w:rsidSect="001E7B01">
          <w:footerReference w:type="default" r:id="rId11"/>
          <w:pgSz w:w="12240" w:h="15840"/>
          <w:pgMar w:top="1440" w:right="1440" w:bottom="1440" w:left="1440" w:header="720" w:footer="720" w:gutter="0"/>
          <w:cols w:space="720"/>
          <w:docGrid w:linePitch="360"/>
        </w:sectPr>
      </w:pPr>
    </w:p>
    <w:p w:rsidR="00ED673D" w:rsidRDefault="000C4862" w:rsidP="00097C1E">
      <w:pPr>
        <w:jc w:val="both"/>
        <w:rPr>
          <w:rFonts w:ascii="Times New Roman" w:hAnsi="Times New Roman"/>
          <w:sz w:val="24"/>
          <w:szCs w:val="24"/>
        </w:rPr>
      </w:pPr>
      <w:r w:rsidRPr="000C4862">
        <w:rPr>
          <w:noProof/>
          <w:lang w:val="en-GB" w:eastAsia="en-GB"/>
        </w:rPr>
        <w:drawing>
          <wp:inline distT="0" distB="0" distL="0" distR="0">
            <wp:extent cx="668909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9090" cy="4762500"/>
                    </a:xfrm>
                    <a:prstGeom prst="rect">
                      <a:avLst/>
                    </a:prstGeom>
                    <a:noFill/>
                    <a:ln>
                      <a:noFill/>
                    </a:ln>
                  </pic:spPr>
                </pic:pic>
              </a:graphicData>
            </a:graphic>
          </wp:inline>
        </w:drawing>
      </w:r>
    </w:p>
    <w:p w:rsidR="00ED673D" w:rsidRPr="00097C1E" w:rsidRDefault="00ED673D" w:rsidP="00097C1E">
      <w:pPr>
        <w:jc w:val="both"/>
        <w:rPr>
          <w:rFonts w:ascii="Times New Roman" w:hAnsi="Times New Roman"/>
          <w:sz w:val="24"/>
          <w:szCs w:val="24"/>
        </w:rPr>
      </w:pPr>
    </w:p>
    <w:p w:rsidR="00CC1321" w:rsidRPr="002B52BC" w:rsidRDefault="00CC1321" w:rsidP="00AD7FE6">
      <w:pPr>
        <w:jc w:val="both"/>
        <w:rPr>
          <w:rFonts w:ascii="Times New Roman" w:hAnsi="Times New Roman"/>
          <w:b/>
          <w:i/>
          <w:sz w:val="24"/>
          <w:szCs w:val="24"/>
        </w:rPr>
      </w:pPr>
    </w:p>
    <w:p w:rsidR="00CC1321" w:rsidRPr="002B52BC" w:rsidRDefault="00CC1321" w:rsidP="00AD7FE6">
      <w:pPr>
        <w:jc w:val="both"/>
        <w:rPr>
          <w:rFonts w:ascii="Times New Roman" w:hAnsi="Times New Roman"/>
          <w:b/>
          <w:i/>
          <w:sz w:val="24"/>
          <w:szCs w:val="24"/>
        </w:rPr>
      </w:pPr>
    </w:p>
    <w:p w:rsidR="00CC1321" w:rsidRPr="002B52BC" w:rsidRDefault="00CC1321" w:rsidP="00AD7FE6">
      <w:pPr>
        <w:spacing w:after="0" w:line="240" w:lineRule="auto"/>
        <w:jc w:val="both"/>
        <w:rPr>
          <w:rFonts w:ascii="Times New Roman" w:eastAsia="Times New Roman" w:hAnsi="Times New Roman"/>
          <w:b/>
          <w:bCs/>
          <w:color w:val="000000"/>
          <w:sz w:val="18"/>
          <w:szCs w:val="18"/>
        </w:rPr>
        <w:sectPr w:rsidR="00CC1321" w:rsidRPr="002B52BC" w:rsidSect="00ED673D">
          <w:pgSz w:w="15840" w:h="12240" w:orient="landscape"/>
          <w:pgMar w:top="1440" w:right="1440" w:bottom="1440" w:left="1440" w:header="720" w:footer="720" w:gutter="0"/>
          <w:cols w:space="720"/>
          <w:docGrid w:linePitch="360"/>
        </w:sectPr>
      </w:pPr>
    </w:p>
    <w:tbl>
      <w:tblPr>
        <w:tblW w:w="12113" w:type="dxa"/>
        <w:tblLook w:val="04A0" w:firstRow="1" w:lastRow="0" w:firstColumn="1" w:lastColumn="0" w:noHBand="0" w:noVBand="1"/>
      </w:tblPr>
      <w:tblGrid>
        <w:gridCol w:w="2724"/>
        <w:gridCol w:w="1341"/>
        <w:gridCol w:w="1343"/>
        <w:gridCol w:w="1343"/>
        <w:gridCol w:w="1341"/>
        <w:gridCol w:w="1341"/>
        <w:gridCol w:w="1341"/>
        <w:gridCol w:w="1341"/>
      </w:tblGrid>
      <w:tr w:rsidR="00CC1321" w:rsidRPr="004A1153" w:rsidTr="00CC1321">
        <w:trPr>
          <w:trHeight w:val="296"/>
        </w:trPr>
        <w:tc>
          <w:tcPr>
            <w:tcW w:w="2724" w:type="dxa"/>
            <w:tcBorders>
              <w:top w:val="nil"/>
              <w:left w:val="nil"/>
              <w:bottom w:val="nil"/>
              <w:right w:val="nil"/>
            </w:tcBorders>
            <w:shd w:val="clear" w:color="auto" w:fill="auto"/>
            <w:noWrap/>
            <w:vAlign w:val="bottom"/>
            <w:hideMark/>
          </w:tcPr>
          <w:p w:rsidR="00ED673D" w:rsidRDefault="00ED673D" w:rsidP="00AD7FE6">
            <w:pPr>
              <w:spacing w:after="0" w:line="240" w:lineRule="auto"/>
              <w:jc w:val="both"/>
              <w:rPr>
                <w:rFonts w:ascii="Times New Roman" w:eastAsia="Times New Roman" w:hAnsi="Times New Roman"/>
                <w:b/>
                <w:bCs/>
                <w:color w:val="000000"/>
                <w:sz w:val="20"/>
                <w:szCs w:val="20"/>
              </w:rPr>
            </w:pPr>
          </w:p>
          <w:p w:rsidR="00ED673D" w:rsidRDefault="00ED673D" w:rsidP="00AD7FE6">
            <w:pPr>
              <w:spacing w:after="0" w:line="240" w:lineRule="auto"/>
              <w:jc w:val="both"/>
              <w:rPr>
                <w:rFonts w:ascii="Times New Roman" w:eastAsia="Times New Roman" w:hAnsi="Times New Roman"/>
                <w:b/>
                <w:bCs/>
                <w:color w:val="000000"/>
                <w:sz w:val="20"/>
                <w:szCs w:val="20"/>
              </w:rPr>
            </w:pPr>
          </w:p>
          <w:p w:rsidR="00ED673D" w:rsidRDefault="00ED673D" w:rsidP="00AD7FE6">
            <w:pPr>
              <w:spacing w:after="0" w:line="240" w:lineRule="auto"/>
              <w:jc w:val="both"/>
              <w:rPr>
                <w:rFonts w:ascii="Times New Roman" w:eastAsia="Times New Roman" w:hAnsi="Times New Roman"/>
                <w:b/>
                <w:bCs/>
                <w:color w:val="000000"/>
                <w:sz w:val="20"/>
                <w:szCs w:val="20"/>
              </w:rPr>
            </w:pPr>
          </w:p>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 xml:space="preserve">Table 1. Regressions </w:t>
            </w: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CC1321">
        <w:trPr>
          <w:trHeight w:val="296"/>
        </w:trPr>
        <w:tc>
          <w:tcPr>
            <w:tcW w:w="2724"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CC1321">
        <w:trPr>
          <w:trHeight w:val="296"/>
        </w:trPr>
        <w:tc>
          <w:tcPr>
            <w:tcW w:w="6749" w:type="dxa"/>
            <w:gridSpan w:val="4"/>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Dependent variable -  change in capital expenditure / total assets</w:t>
            </w: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CC1321">
        <w:trPr>
          <w:trHeight w:val="296"/>
        </w:trPr>
        <w:tc>
          <w:tcPr>
            <w:tcW w:w="2724"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Age</w:t>
            </w:r>
          </w:p>
        </w:tc>
        <w:tc>
          <w:tcPr>
            <w:tcW w:w="1341" w:type="dxa"/>
            <w:tcBorders>
              <w:top w:val="nil"/>
              <w:left w:val="nil"/>
              <w:bottom w:val="nil"/>
              <w:right w:val="nil"/>
            </w:tcBorders>
            <w:shd w:val="clear" w:color="auto" w:fill="auto"/>
            <w:noWrap/>
            <w:vAlign w:val="bottom"/>
          </w:tcPr>
          <w:p w:rsidR="003E14D7" w:rsidRPr="00885B3F" w:rsidRDefault="003E14D7" w:rsidP="003E14D7">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-0.0006***</w:t>
            </w:r>
          </w:p>
        </w:tc>
        <w:tc>
          <w:tcPr>
            <w:tcW w:w="1341" w:type="dxa"/>
            <w:tcBorders>
              <w:top w:val="nil"/>
              <w:left w:val="nil"/>
              <w:bottom w:val="nil"/>
              <w:right w:val="nil"/>
            </w:tcBorders>
            <w:shd w:val="clear" w:color="auto" w:fill="auto"/>
            <w:noWrap/>
            <w:vAlign w:val="bottom"/>
            <w:hideMark/>
          </w:tcPr>
          <w:p w:rsidR="003E14D7" w:rsidRPr="00885B3F" w:rsidRDefault="003E14D7"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w:t>
            </w:r>
            <w:r>
              <w:rPr>
                <w:rFonts w:ascii="Times New Roman" w:eastAsia="Times New Roman" w:hAnsi="Times New Roman"/>
                <w:color w:val="000000"/>
                <w:sz w:val="20"/>
                <w:szCs w:val="20"/>
              </w:rPr>
              <w:t>0.000</w:t>
            </w:r>
            <w:r w:rsidRPr="00885B3F">
              <w:rPr>
                <w:rFonts w:ascii="Times New Roman" w:eastAsia="Times New Roman" w:hAnsi="Times New Roman"/>
                <w:color w:val="000000"/>
                <w:sz w:val="20"/>
                <w:szCs w:val="20"/>
              </w:rPr>
              <w:t>9***</w:t>
            </w:r>
          </w:p>
        </w:tc>
        <w:tc>
          <w:tcPr>
            <w:tcW w:w="1341" w:type="dxa"/>
            <w:tcBorders>
              <w:top w:val="nil"/>
              <w:left w:val="nil"/>
              <w:bottom w:val="nil"/>
              <w:right w:val="nil"/>
            </w:tcBorders>
            <w:shd w:val="clear" w:color="auto" w:fill="auto"/>
            <w:noWrap/>
            <w:vAlign w:val="bottom"/>
            <w:hideMark/>
          </w:tcPr>
          <w:p w:rsidR="003E14D7" w:rsidRPr="00885B3F" w:rsidRDefault="003E14D7" w:rsidP="003E14D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-0.0010</w:t>
            </w:r>
            <w:r w:rsidRPr="00885B3F">
              <w:rPr>
                <w:rFonts w:ascii="Times New Roman" w:eastAsia="Times New Roman" w:hAnsi="Times New Roman"/>
                <w:color w:val="000000"/>
                <w:sz w:val="20"/>
                <w:szCs w:val="20"/>
              </w:rPr>
              <w:t>***</w:t>
            </w:r>
          </w:p>
        </w:tc>
        <w:tc>
          <w:tcPr>
            <w:tcW w:w="1341" w:type="dxa"/>
            <w:tcBorders>
              <w:top w:val="nil"/>
              <w:left w:val="nil"/>
              <w:bottom w:val="nil"/>
              <w:right w:val="nil"/>
            </w:tcBorders>
            <w:shd w:val="clear" w:color="auto" w:fill="auto"/>
            <w:noWrap/>
            <w:vAlign w:val="bottom"/>
            <w:hideMark/>
          </w:tcPr>
          <w:p w:rsidR="003E14D7" w:rsidRPr="00885B3F" w:rsidRDefault="003E14D7"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-0.0009***</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[-4.455]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[-6.672]</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[-6.602]</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[-7.755]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[-6.594]</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Size</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0.001</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0.00354***</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0.00341**</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0.00373***</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0.00376***</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[0.719]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[2.584]</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[2.495]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[3.323]</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[2.706]</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Cash holdings/total assets</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-0.0320***</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-0.0199**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-0.0203**</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-0.0237***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-0.0198**</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[-4.166]</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[-2.275]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[-2.312]</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[-3.614]</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[-2.268]</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p w:rsidR="003E14D7" w:rsidRPr="00885B3F" w:rsidRDefault="003E14D7" w:rsidP="00AD7FE6">
            <w:pPr>
              <w:spacing w:after="0" w:line="240" w:lineRule="auto"/>
              <w:jc w:val="both"/>
              <w:rPr>
                <w:rFonts w:ascii="Times New Roman" w:eastAsia="Times New Roman" w:hAnsi="Times New Roman"/>
                <w:b/>
                <w:color w:val="000000"/>
                <w:sz w:val="20"/>
                <w:szCs w:val="20"/>
              </w:rPr>
            </w:pPr>
            <w:r w:rsidRPr="00885B3F">
              <w:rPr>
                <w:rFonts w:ascii="Times New Roman" w:eastAsia="Times New Roman" w:hAnsi="Times New Roman"/>
                <w:b/>
                <w:color w:val="000000"/>
                <w:sz w:val="20"/>
                <w:szCs w:val="20"/>
              </w:rPr>
              <w:t>Bank distress_lag</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-0.0199*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-0.0320**</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-0.0316**</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-0.0331***</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-0.0328**</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[-1.760]</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[-2.337]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[-2.311]</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[-3.312]</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[-2.393]</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p w:rsidR="003E14D7" w:rsidRPr="00885B3F" w:rsidRDefault="003E14D7"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Dependence </w:t>
            </w:r>
            <w:r w:rsidRPr="00885B3F">
              <w:rPr>
                <w:rFonts w:ascii="Times New Roman" w:eastAsia="Times New Roman" w:hAnsi="Times New Roman"/>
                <w:color w:val="000000"/>
                <w:sz w:val="20"/>
                <w:szCs w:val="20"/>
              </w:rPr>
              <w:t>on external finance</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-0.0042*</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-0.0042*</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[-1.798]</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[-1.813]</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Business cycle sensitivity</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-0.0349**</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-0.0311*</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[-2.084]</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[-1.887]</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Trade Sensitivity</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-0.0093***</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-0.007***</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b/>
                <w:bCs/>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[-3.586]</w:t>
            </w:r>
          </w:p>
        </w:tc>
        <w:tc>
          <w:tcPr>
            <w:tcW w:w="1341" w:type="dxa"/>
            <w:tcBorders>
              <w:top w:val="nil"/>
              <w:left w:val="nil"/>
              <w:bottom w:val="nil"/>
              <w:right w:val="nil"/>
            </w:tcBorders>
            <w:shd w:val="clear" w:color="auto" w:fill="auto"/>
            <w:noWrap/>
            <w:vAlign w:val="bottom"/>
            <w:hideMark/>
          </w:tcPr>
          <w:p w:rsidR="003E14D7" w:rsidRPr="00FF379D" w:rsidRDefault="003E14D7" w:rsidP="00AD7FE6">
            <w:pPr>
              <w:spacing w:after="0" w:line="240" w:lineRule="auto"/>
              <w:jc w:val="both"/>
              <w:rPr>
                <w:rFonts w:ascii="Times New Roman" w:eastAsia="Times New Roman" w:hAnsi="Times New Roman"/>
                <w:bCs/>
                <w:color w:val="000000"/>
                <w:sz w:val="20"/>
                <w:szCs w:val="20"/>
              </w:rPr>
            </w:pPr>
            <w:r w:rsidRPr="00FF379D">
              <w:rPr>
                <w:rFonts w:ascii="Times New Roman" w:eastAsia="Times New Roman" w:hAnsi="Times New Roman"/>
                <w:bCs/>
                <w:color w:val="000000"/>
                <w:sz w:val="20"/>
                <w:szCs w:val="20"/>
              </w:rPr>
              <w:t>[-2.668]</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Constant</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0.025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0.0433**</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0.0425**</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0.0439***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0.0420**</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[1.297]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[2.184]</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[2.144]</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[3.067]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[2.114]</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Observations</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7,230</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5,147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5,147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8,258</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5,147</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R-squared</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0.062</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0.017</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0.019</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0.018</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sz w:val="20"/>
                <w:szCs w:val="20"/>
              </w:rPr>
            </w:pP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year dummies</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41" w:type="dxa"/>
            <w:tcBorders>
              <w:top w:val="nil"/>
              <w:left w:val="nil"/>
              <w:bottom w:val="nil"/>
              <w:right w:val="nil"/>
            </w:tcBorders>
            <w:shd w:val="clear" w:color="auto" w:fill="auto"/>
            <w:noWrap/>
            <w:vAlign w:val="bottom"/>
            <w:hideMark/>
          </w:tcPr>
          <w:p w:rsidR="003E14D7" w:rsidRPr="00885B3F" w:rsidRDefault="007F0B2D"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y</w:t>
            </w:r>
            <w:r w:rsidR="003E14D7" w:rsidRPr="00885B3F">
              <w:rPr>
                <w:rFonts w:ascii="Times New Roman" w:eastAsia="Times New Roman" w:hAnsi="Times New Roman"/>
                <w:color w:val="000000"/>
                <w:sz w:val="20"/>
                <w:szCs w:val="20"/>
              </w:rPr>
              <w:t>es</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r>
      <w:tr w:rsidR="003E14D7" w:rsidRPr="004A1153" w:rsidTr="00593790">
        <w:trPr>
          <w:gridAfter w:val="1"/>
          <w:wAfter w:w="1341" w:type="dxa"/>
          <w:trHeight w:val="296"/>
        </w:trPr>
        <w:tc>
          <w:tcPr>
            <w:tcW w:w="2724"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industry dummies</w:t>
            </w:r>
          </w:p>
        </w:tc>
        <w:tc>
          <w:tcPr>
            <w:tcW w:w="1341" w:type="dxa"/>
            <w:tcBorders>
              <w:top w:val="nil"/>
              <w:left w:val="nil"/>
              <w:bottom w:val="nil"/>
              <w:right w:val="nil"/>
            </w:tcBorders>
            <w:shd w:val="clear" w:color="auto" w:fill="auto"/>
            <w:noWrap/>
            <w:vAlign w:val="bottom"/>
          </w:tcPr>
          <w:p w:rsidR="003E14D7" w:rsidRPr="00885B3F" w:rsidRDefault="003E14D7" w:rsidP="00AD7FE6">
            <w:pPr>
              <w:spacing w:after="0" w:line="240" w:lineRule="auto"/>
              <w:jc w:val="both"/>
              <w:rPr>
                <w:rFonts w:ascii="Times New Roman" w:eastAsia="Times New Roman" w:hAnsi="Times New Roman"/>
                <w:color w:val="000000"/>
                <w:sz w:val="20"/>
                <w:szCs w:val="20"/>
              </w:rPr>
            </w:pPr>
          </w:p>
        </w:tc>
        <w:tc>
          <w:tcPr>
            <w:tcW w:w="1343"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c>
          <w:tcPr>
            <w:tcW w:w="1341" w:type="dxa"/>
            <w:tcBorders>
              <w:top w:val="nil"/>
              <w:left w:val="nil"/>
              <w:bottom w:val="nil"/>
              <w:right w:val="nil"/>
            </w:tcBorders>
            <w:shd w:val="clear" w:color="auto" w:fill="auto"/>
            <w:noWrap/>
            <w:vAlign w:val="bottom"/>
            <w:hideMark/>
          </w:tcPr>
          <w:p w:rsidR="003E14D7" w:rsidRPr="00885B3F" w:rsidRDefault="007F0B2D"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w:t>
            </w:r>
            <w:r w:rsidR="003E14D7" w:rsidRPr="00885B3F">
              <w:rPr>
                <w:rFonts w:ascii="Times New Roman" w:eastAsia="Times New Roman" w:hAnsi="Times New Roman"/>
                <w:color w:val="000000"/>
                <w:sz w:val="20"/>
                <w:szCs w:val="20"/>
              </w:rPr>
              <w:t>o</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c>
          <w:tcPr>
            <w:tcW w:w="1341" w:type="dxa"/>
            <w:tcBorders>
              <w:top w:val="nil"/>
              <w:left w:val="nil"/>
              <w:bottom w:val="nil"/>
              <w:right w:val="nil"/>
            </w:tcBorders>
            <w:shd w:val="clear" w:color="auto" w:fill="auto"/>
            <w:noWrap/>
            <w:vAlign w:val="bottom"/>
            <w:hideMark/>
          </w:tcPr>
          <w:p w:rsidR="003E14D7" w:rsidRPr="00885B3F" w:rsidRDefault="003E14D7"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r>
      <w:tr w:rsidR="00CC1321" w:rsidRPr="004A1153" w:rsidTr="00CC1321">
        <w:trPr>
          <w:gridAfter w:val="6"/>
          <w:wAfter w:w="8048" w:type="dxa"/>
          <w:trHeight w:val="296"/>
        </w:trPr>
        <w:tc>
          <w:tcPr>
            <w:tcW w:w="2724"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 p&lt;0.01, ** p&lt;0.05, * p&lt;0.1</w:t>
            </w:r>
          </w:p>
        </w:tc>
        <w:tc>
          <w:tcPr>
            <w:tcW w:w="134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r>
    </w:tbl>
    <w:p w:rsidR="00CC1321" w:rsidRPr="002B52BC" w:rsidRDefault="00CC1321" w:rsidP="00AD7FE6">
      <w:pPr>
        <w:jc w:val="both"/>
        <w:rPr>
          <w:rFonts w:ascii="Times New Roman" w:hAnsi="Times New Roman"/>
          <w:b/>
          <w:sz w:val="24"/>
          <w:szCs w:val="24"/>
        </w:rPr>
      </w:pPr>
    </w:p>
    <w:p w:rsidR="00CC1321" w:rsidRPr="002B52BC" w:rsidRDefault="00CC1321" w:rsidP="00AD7FE6">
      <w:pPr>
        <w:jc w:val="both"/>
        <w:rPr>
          <w:rFonts w:ascii="Times New Roman" w:hAnsi="Times New Roman"/>
          <w:b/>
          <w:sz w:val="24"/>
          <w:szCs w:val="24"/>
        </w:rPr>
      </w:pPr>
    </w:p>
    <w:tbl>
      <w:tblPr>
        <w:tblW w:w="11549" w:type="dxa"/>
        <w:tblLook w:val="04A0" w:firstRow="1" w:lastRow="0" w:firstColumn="1" w:lastColumn="0" w:noHBand="0" w:noVBand="1"/>
      </w:tblPr>
      <w:tblGrid>
        <w:gridCol w:w="2977"/>
        <w:gridCol w:w="1352"/>
        <w:gridCol w:w="1351"/>
        <w:gridCol w:w="1468"/>
        <w:gridCol w:w="1467"/>
        <w:gridCol w:w="1467"/>
        <w:gridCol w:w="1467"/>
      </w:tblGrid>
      <w:tr w:rsidR="00CC1321" w:rsidRPr="004A1153" w:rsidTr="00885B3F">
        <w:trPr>
          <w:trHeight w:val="305"/>
        </w:trPr>
        <w:tc>
          <w:tcPr>
            <w:tcW w:w="5680" w:type="dxa"/>
            <w:gridSpan w:val="3"/>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 xml:space="preserve">Table </w:t>
            </w:r>
            <w:r w:rsidR="00CB5599">
              <w:rPr>
                <w:rFonts w:ascii="Times New Roman" w:eastAsia="Times New Roman" w:hAnsi="Times New Roman"/>
                <w:b/>
                <w:bCs/>
                <w:color w:val="000000"/>
                <w:sz w:val="20"/>
                <w:szCs w:val="20"/>
              </w:rPr>
              <w:t>2</w:t>
            </w:r>
            <w:r w:rsidRPr="00885B3F">
              <w:rPr>
                <w:rFonts w:ascii="Times New Roman" w:eastAsia="Times New Roman" w:hAnsi="Times New Roman"/>
                <w:b/>
                <w:bCs/>
                <w:color w:val="000000"/>
                <w:sz w:val="20"/>
                <w:szCs w:val="20"/>
              </w:rPr>
              <w:t>. Regressions with predetermined controls</w:t>
            </w:r>
            <w:r w:rsidR="003E14D7">
              <w:rPr>
                <w:rFonts w:ascii="Times New Roman" w:eastAsia="Times New Roman" w:hAnsi="Times New Roman"/>
                <w:b/>
                <w:bCs/>
                <w:color w:val="000000"/>
                <w:sz w:val="20"/>
                <w:szCs w:val="20"/>
              </w:rPr>
              <w:t xml:space="preserve"> </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CC1321">
        <w:trPr>
          <w:trHeight w:val="305"/>
        </w:trPr>
        <w:tc>
          <w:tcPr>
            <w:tcW w:w="7148" w:type="dxa"/>
            <w:gridSpan w:val="4"/>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Dependent variable -  change in capital expenditure / total assets</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Age 2006</w:t>
            </w:r>
          </w:p>
        </w:tc>
        <w:tc>
          <w:tcPr>
            <w:tcW w:w="1352" w:type="dxa"/>
            <w:tcBorders>
              <w:top w:val="nil"/>
              <w:left w:val="nil"/>
              <w:bottom w:val="nil"/>
              <w:right w:val="nil"/>
            </w:tcBorders>
            <w:shd w:val="clear" w:color="auto" w:fill="auto"/>
            <w:noWrap/>
            <w:vAlign w:val="bottom"/>
            <w:hideMark/>
          </w:tcPr>
          <w:p w:rsidR="00CC1321" w:rsidRPr="00885B3F" w:rsidRDefault="003E14D7" w:rsidP="003E14D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-0.0003</w:t>
            </w:r>
            <w:r w:rsidR="00CC1321" w:rsidRPr="00885B3F">
              <w:rPr>
                <w:rFonts w:ascii="Times New Roman" w:eastAsia="Times New Roman" w:hAnsi="Times New Roman"/>
                <w:color w:val="000000"/>
                <w:sz w:val="20"/>
                <w:szCs w:val="20"/>
              </w:rPr>
              <w:t>**</w:t>
            </w:r>
          </w:p>
        </w:tc>
        <w:tc>
          <w:tcPr>
            <w:tcW w:w="1351" w:type="dxa"/>
            <w:tcBorders>
              <w:top w:val="nil"/>
              <w:left w:val="nil"/>
              <w:bottom w:val="nil"/>
              <w:right w:val="nil"/>
            </w:tcBorders>
            <w:shd w:val="clear" w:color="auto" w:fill="auto"/>
            <w:noWrap/>
            <w:vAlign w:val="bottom"/>
            <w:hideMark/>
          </w:tcPr>
          <w:p w:rsidR="00CC1321" w:rsidRPr="00885B3F" w:rsidRDefault="00CC1321"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-0.0003**</w:t>
            </w:r>
          </w:p>
        </w:tc>
        <w:tc>
          <w:tcPr>
            <w:tcW w:w="1468" w:type="dxa"/>
            <w:tcBorders>
              <w:top w:val="nil"/>
              <w:left w:val="nil"/>
              <w:bottom w:val="nil"/>
              <w:right w:val="nil"/>
            </w:tcBorders>
            <w:shd w:val="clear" w:color="auto" w:fill="auto"/>
            <w:noWrap/>
            <w:vAlign w:val="bottom"/>
            <w:hideMark/>
          </w:tcPr>
          <w:p w:rsidR="00CC1321" w:rsidRPr="00885B3F" w:rsidRDefault="00CC1321"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-0.0004***</w:t>
            </w:r>
          </w:p>
        </w:tc>
        <w:tc>
          <w:tcPr>
            <w:tcW w:w="1467" w:type="dxa"/>
            <w:tcBorders>
              <w:top w:val="nil"/>
              <w:left w:val="nil"/>
              <w:bottom w:val="nil"/>
              <w:right w:val="nil"/>
            </w:tcBorders>
            <w:shd w:val="clear" w:color="auto" w:fill="auto"/>
            <w:noWrap/>
            <w:vAlign w:val="bottom"/>
            <w:hideMark/>
          </w:tcPr>
          <w:p w:rsidR="00CC1321" w:rsidRPr="00885B3F" w:rsidRDefault="00CC1321"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-0.0004***</w:t>
            </w:r>
          </w:p>
        </w:tc>
        <w:tc>
          <w:tcPr>
            <w:tcW w:w="1467" w:type="dxa"/>
            <w:tcBorders>
              <w:top w:val="nil"/>
              <w:left w:val="nil"/>
              <w:bottom w:val="nil"/>
              <w:right w:val="nil"/>
            </w:tcBorders>
            <w:shd w:val="clear" w:color="auto" w:fill="auto"/>
            <w:noWrap/>
            <w:vAlign w:val="bottom"/>
            <w:hideMark/>
          </w:tcPr>
          <w:p w:rsidR="00CC1321" w:rsidRPr="00885B3F" w:rsidRDefault="00CC1321"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w:t>
            </w:r>
            <w:r w:rsidR="003E14D7">
              <w:rPr>
                <w:rFonts w:ascii="Times New Roman" w:eastAsia="Times New Roman" w:hAnsi="Times New Roman"/>
                <w:color w:val="000000"/>
                <w:sz w:val="20"/>
                <w:szCs w:val="20"/>
              </w:rPr>
              <w:t>0.0004</w:t>
            </w:r>
            <w:r w:rsidRPr="00885B3F">
              <w:rPr>
                <w:rFonts w:ascii="Times New Roman" w:eastAsia="Times New Roman" w:hAnsi="Times New Roman"/>
                <w:color w:val="000000"/>
                <w:sz w:val="20"/>
                <w:szCs w:val="20"/>
              </w:rPr>
              <w:t>***</w:t>
            </w:r>
          </w:p>
        </w:tc>
        <w:tc>
          <w:tcPr>
            <w:tcW w:w="1467" w:type="dxa"/>
            <w:tcBorders>
              <w:top w:val="nil"/>
              <w:left w:val="nil"/>
              <w:bottom w:val="nil"/>
              <w:right w:val="nil"/>
            </w:tcBorders>
            <w:shd w:val="clear" w:color="auto" w:fill="auto"/>
            <w:noWrap/>
            <w:vAlign w:val="bottom"/>
            <w:hideMark/>
          </w:tcPr>
          <w:p w:rsidR="00CC1321" w:rsidRPr="00885B3F" w:rsidRDefault="00CC1321" w:rsidP="003E14D7">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-0.0004***</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[-2.303]</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[-2.414]</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[-3.515]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[-3.324]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[-4.445]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[-3.474]</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Size 2006</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-0.000255</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-0.0011</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0.000874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0.000682</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0.001</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0.000915</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[-0.262]</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[-0.932]</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[0.749]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[0.588]</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[1.139]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[0.780]</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Cash holdings/total assets 2006</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-0.00443</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-0.00785</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-0.0147*</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-0.0159*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-0.00514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-0.0147*</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[-0.660]</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[-0.999]</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[-1.715]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[-1.872]</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[-0.766]</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[-1.719]</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color w:val="000000"/>
                <w:sz w:val="20"/>
                <w:szCs w:val="20"/>
              </w:rPr>
            </w:pPr>
            <w:r w:rsidRPr="00885B3F">
              <w:rPr>
                <w:rFonts w:ascii="Times New Roman" w:eastAsia="Times New Roman" w:hAnsi="Times New Roman"/>
                <w:b/>
                <w:color w:val="000000"/>
                <w:sz w:val="20"/>
                <w:szCs w:val="20"/>
              </w:rPr>
              <w:t>Bank distress</w:t>
            </w:r>
            <w:r w:rsidR="00D40A74" w:rsidRPr="00885B3F">
              <w:rPr>
                <w:rFonts w:ascii="Times New Roman" w:eastAsia="Times New Roman" w:hAnsi="Times New Roman"/>
                <w:b/>
                <w:color w:val="000000"/>
                <w:sz w:val="20"/>
                <w:szCs w:val="20"/>
              </w:rPr>
              <w:t>_lag</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-0.0219**</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-0.0243**</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-0.0240**</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-0.0390***</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-0.0242**</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[-2.400]</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[-2.241]</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[-2.219]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[-4.550]</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r w:rsidRPr="00885B3F">
              <w:rPr>
                <w:rFonts w:ascii="Times New Roman" w:eastAsia="Times New Roman" w:hAnsi="Times New Roman"/>
                <w:b/>
                <w:bCs/>
                <w:color w:val="000000"/>
                <w:sz w:val="20"/>
                <w:szCs w:val="20"/>
              </w:rPr>
              <w:t>[-2.236]</w:t>
            </w:r>
          </w:p>
        </w:tc>
      </w:tr>
      <w:tr w:rsidR="00CC1321" w:rsidRPr="004A1153" w:rsidTr="00885B3F">
        <w:trPr>
          <w:trHeight w:val="305"/>
        </w:trPr>
        <w:tc>
          <w:tcPr>
            <w:tcW w:w="4329" w:type="dxa"/>
            <w:gridSpan w:val="2"/>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Dependence on external finance</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r w:rsidRPr="00885B3F">
              <w:rPr>
                <w:rFonts w:ascii="Times New Roman" w:eastAsia="Times New Roman" w:hAnsi="Times New Roman"/>
                <w:bCs/>
                <w:color w:val="000000"/>
                <w:sz w:val="20"/>
                <w:szCs w:val="20"/>
              </w:rPr>
              <w:t>-0.00440**</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r w:rsidRPr="00885B3F">
              <w:rPr>
                <w:rFonts w:ascii="Times New Roman" w:eastAsia="Times New Roman" w:hAnsi="Times New Roman"/>
                <w:bCs/>
                <w:color w:val="000000"/>
                <w:sz w:val="20"/>
                <w:szCs w:val="20"/>
              </w:rPr>
              <w:t>-0.00443**</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
                <w:bCs/>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r w:rsidRPr="00885B3F">
              <w:rPr>
                <w:rFonts w:ascii="Times New Roman" w:eastAsia="Times New Roman" w:hAnsi="Times New Roman"/>
                <w:bCs/>
                <w:color w:val="000000"/>
                <w:sz w:val="20"/>
                <w:szCs w:val="20"/>
              </w:rPr>
              <w:t>[-2.017]</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bCs/>
                <w:color w:val="000000"/>
                <w:sz w:val="20"/>
                <w:szCs w:val="20"/>
              </w:rPr>
            </w:pPr>
            <w:r w:rsidRPr="00885B3F">
              <w:rPr>
                <w:rFonts w:ascii="Times New Roman" w:eastAsia="Times New Roman" w:hAnsi="Times New Roman"/>
                <w:bCs/>
                <w:color w:val="000000"/>
                <w:sz w:val="20"/>
                <w:szCs w:val="20"/>
              </w:rPr>
              <w:t>[-2.028]</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Business cycle sensitivity</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-8.54E-05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3E14D7" w:rsidP="003E14D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0.0008</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[-0.0102]</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[0.0959]</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Trade Sensitivity</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3E14D7"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-0.0030</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-0.0014</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[-1.216]</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[-0.560]</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Constant</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0.0507**</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0.0145</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0.0104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0.012</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0.0389**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0.0102</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[1.994]</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[0.832]</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[0.465]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[0.534]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[2.225]</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[0.457]</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Observations</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8,722</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6,146</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4,324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4,324</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7,242</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4,324</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R-squared</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0.035</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0.045</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0.008</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0.008</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0.009</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0.008</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sz w:val="20"/>
                <w:szCs w:val="20"/>
              </w:rPr>
            </w:pP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year dummies</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467" w:type="dxa"/>
            <w:tcBorders>
              <w:top w:val="nil"/>
              <w:left w:val="nil"/>
              <w:bottom w:val="nil"/>
              <w:right w:val="nil"/>
            </w:tcBorders>
            <w:shd w:val="clear" w:color="auto" w:fill="auto"/>
            <w:noWrap/>
            <w:vAlign w:val="bottom"/>
            <w:hideMark/>
          </w:tcPr>
          <w:p w:rsidR="00CC1321" w:rsidRPr="00885B3F" w:rsidRDefault="007F0B2D"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y</w:t>
            </w:r>
            <w:r w:rsidR="00CC1321" w:rsidRPr="00885B3F">
              <w:rPr>
                <w:rFonts w:ascii="Times New Roman" w:eastAsia="Times New Roman" w:hAnsi="Times New Roman"/>
                <w:color w:val="000000"/>
                <w:sz w:val="20"/>
                <w:szCs w:val="20"/>
              </w:rPr>
              <w:t>es</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r>
      <w:tr w:rsidR="00CC1321" w:rsidRPr="004A1153" w:rsidTr="00885B3F">
        <w:trPr>
          <w:trHeight w:val="305"/>
        </w:trPr>
        <w:tc>
          <w:tcPr>
            <w:tcW w:w="297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industry dummies</w:t>
            </w:r>
          </w:p>
        </w:tc>
        <w:tc>
          <w:tcPr>
            <w:tcW w:w="1352"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351"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yes</w:t>
            </w:r>
          </w:p>
        </w:tc>
        <w:tc>
          <w:tcPr>
            <w:tcW w:w="1468"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c>
          <w:tcPr>
            <w:tcW w:w="1467" w:type="dxa"/>
            <w:tcBorders>
              <w:top w:val="nil"/>
              <w:left w:val="nil"/>
              <w:bottom w:val="nil"/>
              <w:right w:val="nil"/>
            </w:tcBorders>
            <w:shd w:val="clear" w:color="auto" w:fill="auto"/>
            <w:noWrap/>
            <w:vAlign w:val="bottom"/>
            <w:hideMark/>
          </w:tcPr>
          <w:p w:rsidR="00CC1321" w:rsidRPr="00885B3F" w:rsidRDefault="007F0B2D" w:rsidP="00AD7FE6">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w:t>
            </w:r>
            <w:r w:rsidR="00CC1321" w:rsidRPr="00885B3F">
              <w:rPr>
                <w:rFonts w:ascii="Times New Roman" w:eastAsia="Times New Roman" w:hAnsi="Times New Roman"/>
                <w:color w:val="000000"/>
                <w:sz w:val="20"/>
                <w:szCs w:val="20"/>
              </w:rPr>
              <w:t>o</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c>
          <w:tcPr>
            <w:tcW w:w="1467" w:type="dxa"/>
            <w:tcBorders>
              <w:top w:val="nil"/>
              <w:left w:val="nil"/>
              <w:bottom w:val="nil"/>
              <w:right w:val="nil"/>
            </w:tcBorders>
            <w:shd w:val="clear" w:color="auto" w:fill="auto"/>
            <w:noWrap/>
            <w:vAlign w:val="bottom"/>
            <w:hideMark/>
          </w:tcPr>
          <w:p w:rsidR="00CC1321" w:rsidRPr="00885B3F" w:rsidRDefault="00CC1321" w:rsidP="00AD7FE6">
            <w:pPr>
              <w:spacing w:after="0" w:line="240" w:lineRule="auto"/>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no</w:t>
            </w:r>
          </w:p>
        </w:tc>
      </w:tr>
    </w:tbl>
    <w:p w:rsidR="00CC1321" w:rsidRPr="00885B3F" w:rsidRDefault="00CC1321" w:rsidP="00AD7FE6">
      <w:pPr>
        <w:jc w:val="both"/>
        <w:rPr>
          <w:rFonts w:ascii="Times New Roman" w:hAnsi="Times New Roman"/>
          <w:b/>
          <w:sz w:val="20"/>
          <w:szCs w:val="20"/>
        </w:rPr>
      </w:pPr>
    </w:p>
    <w:p w:rsidR="00CC1321" w:rsidRPr="00885B3F" w:rsidRDefault="00CC1321" w:rsidP="00AD7FE6">
      <w:pPr>
        <w:jc w:val="both"/>
        <w:rPr>
          <w:rFonts w:ascii="Times New Roman" w:eastAsia="Times New Roman" w:hAnsi="Times New Roman"/>
          <w:color w:val="000000"/>
          <w:sz w:val="20"/>
          <w:szCs w:val="20"/>
        </w:rPr>
      </w:pPr>
      <w:r w:rsidRPr="00885B3F">
        <w:rPr>
          <w:rFonts w:ascii="Times New Roman" w:eastAsia="Times New Roman" w:hAnsi="Times New Roman"/>
          <w:color w:val="000000"/>
          <w:sz w:val="20"/>
          <w:szCs w:val="20"/>
        </w:rPr>
        <w:t>*** p&lt;0.01, ** p&lt;0.05, * p&lt;0.1</w:t>
      </w:r>
    </w:p>
    <w:tbl>
      <w:tblPr>
        <w:tblW w:w="12081" w:type="dxa"/>
        <w:tblInd w:w="108" w:type="dxa"/>
        <w:tblLook w:val="04A0" w:firstRow="1" w:lastRow="0" w:firstColumn="1" w:lastColumn="0" w:noHBand="0" w:noVBand="1"/>
      </w:tblPr>
      <w:tblGrid>
        <w:gridCol w:w="1890"/>
        <w:gridCol w:w="990"/>
        <w:gridCol w:w="90"/>
        <w:gridCol w:w="1170"/>
        <w:gridCol w:w="1080"/>
        <w:gridCol w:w="1080"/>
        <w:gridCol w:w="1080"/>
        <w:gridCol w:w="236"/>
        <w:gridCol w:w="625"/>
        <w:gridCol w:w="335"/>
        <w:gridCol w:w="625"/>
        <w:gridCol w:w="335"/>
        <w:gridCol w:w="625"/>
        <w:gridCol w:w="335"/>
        <w:gridCol w:w="625"/>
        <w:gridCol w:w="335"/>
        <w:gridCol w:w="625"/>
      </w:tblGrid>
      <w:tr w:rsidR="00F94353" w:rsidRPr="004A1153" w:rsidTr="00F94353">
        <w:trPr>
          <w:gridAfter w:val="1"/>
          <w:wAfter w:w="625" w:type="dxa"/>
          <w:trHeight w:val="300"/>
        </w:trPr>
        <w:tc>
          <w:tcPr>
            <w:tcW w:w="7380" w:type="dxa"/>
            <w:gridSpan w:val="7"/>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sz w:val="18"/>
                <w:szCs w:val="18"/>
              </w:rPr>
            </w:pPr>
            <w:r w:rsidRPr="00F94353">
              <w:rPr>
                <w:rFonts w:ascii="Times New Roman" w:eastAsia="Times New Roman" w:hAnsi="Times New Roman"/>
                <w:b/>
                <w:bCs/>
                <w:sz w:val="18"/>
                <w:szCs w:val="18"/>
              </w:rPr>
              <w:t xml:space="preserve">Table 3. Results for firms </w:t>
            </w:r>
            <w:r w:rsidRPr="00F94353">
              <w:rPr>
                <w:rFonts w:ascii="Times New Roman" w:eastAsia="Times New Roman" w:hAnsi="Times New Roman"/>
                <w:b/>
                <w:bCs/>
                <w:i/>
                <w:iCs/>
                <w:sz w:val="18"/>
                <w:szCs w:val="18"/>
              </w:rPr>
              <w:t xml:space="preserve">with </w:t>
            </w:r>
            <w:r w:rsidRPr="00F94353">
              <w:rPr>
                <w:rFonts w:ascii="Times New Roman" w:eastAsia="Times New Roman" w:hAnsi="Times New Roman"/>
                <w:b/>
                <w:bCs/>
                <w:sz w:val="18"/>
                <w:szCs w:val="18"/>
              </w:rPr>
              <w:t>and</w:t>
            </w:r>
            <w:r w:rsidRPr="00F94353">
              <w:rPr>
                <w:rFonts w:ascii="Times New Roman" w:eastAsia="Times New Roman" w:hAnsi="Times New Roman"/>
                <w:b/>
                <w:bCs/>
                <w:i/>
                <w:iCs/>
                <w:sz w:val="18"/>
                <w:szCs w:val="18"/>
              </w:rPr>
              <w:t xml:space="preserve"> without</w:t>
            </w:r>
            <w:r w:rsidRPr="00F94353">
              <w:rPr>
                <w:rFonts w:ascii="Times New Roman" w:eastAsia="Times New Roman" w:hAnsi="Times New Roman"/>
                <w:b/>
                <w:bCs/>
                <w:sz w:val="18"/>
                <w:szCs w:val="18"/>
              </w:rPr>
              <w:t xml:space="preserve"> access to public debt</w:t>
            </w:r>
            <w:r>
              <w:rPr>
                <w:rFonts w:ascii="Times New Roman" w:eastAsia="Times New Roman" w:hAnsi="Times New Roman"/>
                <w:b/>
                <w:bCs/>
                <w:sz w:val="18"/>
                <w:szCs w:val="18"/>
              </w:rPr>
              <w:t xml:space="preserve"> and predetermined controls</w:t>
            </w:r>
          </w:p>
        </w:tc>
        <w:tc>
          <w:tcPr>
            <w:tcW w:w="236"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6300" w:type="dxa"/>
            <w:gridSpan w:val="6"/>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Dependent variable -  change in capital expenditure / total assets</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285"/>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3330" w:type="dxa"/>
            <w:gridSpan w:val="4"/>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color w:val="000000"/>
                <w:sz w:val="18"/>
                <w:szCs w:val="18"/>
              </w:rPr>
            </w:pPr>
            <w:r w:rsidRPr="00F94353">
              <w:rPr>
                <w:rFonts w:ascii="Times New Roman" w:eastAsia="Times New Roman" w:hAnsi="Times New Roman"/>
                <w:b/>
                <w:bCs/>
                <w:color w:val="000000"/>
                <w:sz w:val="18"/>
                <w:szCs w:val="18"/>
              </w:rPr>
              <w:t>Firms</w:t>
            </w:r>
            <w:r w:rsidRPr="00F94353">
              <w:rPr>
                <w:rFonts w:ascii="Times New Roman" w:eastAsia="Times New Roman" w:hAnsi="Times New Roman"/>
                <w:b/>
                <w:bCs/>
                <w:i/>
                <w:iCs/>
                <w:color w:val="000000"/>
                <w:sz w:val="18"/>
                <w:szCs w:val="18"/>
              </w:rPr>
              <w:t xml:space="preserve"> without</w:t>
            </w:r>
            <w:r w:rsidRPr="00F94353">
              <w:rPr>
                <w:rFonts w:ascii="Times New Roman" w:eastAsia="Times New Roman" w:hAnsi="Times New Roman"/>
                <w:b/>
                <w:bCs/>
                <w:color w:val="000000"/>
                <w:sz w:val="18"/>
                <w:szCs w:val="18"/>
              </w:rPr>
              <w:t xml:space="preserve"> access to public debt</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2781" w:type="dxa"/>
            <w:gridSpan w:val="6"/>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color w:val="000000"/>
                <w:sz w:val="18"/>
                <w:szCs w:val="18"/>
              </w:rPr>
            </w:pPr>
            <w:r w:rsidRPr="00F94353">
              <w:rPr>
                <w:rFonts w:ascii="Times New Roman" w:eastAsia="Times New Roman" w:hAnsi="Times New Roman"/>
                <w:b/>
                <w:bCs/>
                <w:color w:val="000000"/>
                <w:sz w:val="18"/>
                <w:szCs w:val="18"/>
              </w:rPr>
              <w:t xml:space="preserve">Firms </w:t>
            </w:r>
            <w:r w:rsidRPr="00F94353">
              <w:rPr>
                <w:rFonts w:ascii="Times New Roman" w:eastAsia="Times New Roman" w:hAnsi="Times New Roman"/>
                <w:b/>
                <w:bCs/>
                <w:i/>
                <w:iCs/>
                <w:color w:val="000000"/>
                <w:sz w:val="18"/>
                <w:szCs w:val="18"/>
              </w:rPr>
              <w:t>with</w:t>
            </w:r>
            <w:r w:rsidRPr="00F94353">
              <w:rPr>
                <w:rFonts w:ascii="Times New Roman" w:eastAsia="Times New Roman" w:hAnsi="Times New Roman"/>
                <w:b/>
                <w:bCs/>
                <w:color w:val="000000"/>
                <w:sz w:val="18"/>
                <w:szCs w:val="18"/>
              </w:rPr>
              <w:t xml:space="preserve"> access to public debt</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bCs/>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Bank distress_lag</w:t>
            </w: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-0.0225**</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-0.0269**</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-0.0267**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-0.0417***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-0.0268**</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-0.0101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-0.00773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-0.00783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-0.0137</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-0.00846</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[-2.145]</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[-2.103]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[-2.083]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[-4.263]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b/>
                <w:color w:val="000000"/>
                <w:sz w:val="18"/>
                <w:szCs w:val="18"/>
              </w:rPr>
            </w:pPr>
            <w:r w:rsidRPr="00F94353">
              <w:rPr>
                <w:rFonts w:ascii="Times New Roman" w:eastAsia="Times New Roman" w:hAnsi="Times New Roman"/>
                <w:b/>
                <w:color w:val="000000"/>
                <w:sz w:val="18"/>
                <w:szCs w:val="18"/>
              </w:rPr>
              <w:t>[-2.096]</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[-0.570]</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[-0.481]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[-0.484]</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[-0.988]</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[-0.524]</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Age</w:t>
            </w:r>
            <w:r>
              <w:rPr>
                <w:rFonts w:ascii="Times New Roman" w:eastAsia="Times New Roman" w:hAnsi="Times New Roman"/>
                <w:color w:val="000000"/>
                <w:sz w:val="18"/>
                <w:szCs w:val="18"/>
              </w:rPr>
              <w:t xml:space="preserve"> 2006</w:t>
            </w: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-0.0004</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-0.0006</w:t>
            </w:r>
            <w:r w:rsidRPr="00F94353">
              <w:rPr>
                <w:rFonts w:ascii="Times New Roman" w:eastAsia="Times New Roman" w:hAnsi="Times New Roman"/>
                <w:color w:val="000000"/>
                <w:sz w:val="18"/>
                <w:szCs w:val="18"/>
              </w:rPr>
              <w:t>***</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-0.0006</w:t>
            </w:r>
            <w:r w:rsidRPr="00F94353">
              <w:rPr>
                <w:rFonts w:ascii="Times New Roman" w:eastAsia="Times New Roman" w:hAnsi="Times New Roman"/>
                <w:color w:val="000000"/>
                <w:sz w:val="18"/>
                <w:szCs w:val="18"/>
              </w:rPr>
              <w:t>***</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-0.0007</w:t>
            </w:r>
            <w:r w:rsidRPr="00F94353">
              <w:rPr>
                <w:rFonts w:ascii="Times New Roman" w:eastAsia="Times New Roman" w:hAnsi="Times New Roman"/>
                <w:color w:val="000000"/>
                <w:sz w:val="18"/>
                <w:szCs w:val="18"/>
              </w:rPr>
              <w:t>***</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-0.0006</w:t>
            </w:r>
            <w:r w:rsidRPr="00F94353">
              <w:rPr>
                <w:rFonts w:ascii="Times New Roman" w:eastAsia="Times New Roman" w:hAnsi="Times New Roman"/>
                <w:color w:val="000000"/>
                <w:sz w:val="18"/>
                <w:szCs w:val="18"/>
              </w:rPr>
              <w:t>***</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-0.0002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-7.06E-05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-0.0001</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[-1.630]</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[-3.237]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[-3.032]</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[-4.386]</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[-3.215]</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[-0.903]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[-1.131]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[-1.131]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[-0.619]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[-1.030]</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 xml:space="preserve">Size </w:t>
            </w:r>
            <w:r>
              <w:rPr>
                <w:rFonts w:ascii="Times New Roman" w:eastAsia="Times New Roman" w:hAnsi="Times New Roman"/>
                <w:color w:val="000000"/>
                <w:sz w:val="18"/>
                <w:szCs w:val="18"/>
              </w:rPr>
              <w:t xml:space="preserve"> 2006</w:t>
            </w: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-0.000889</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0.00148</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0.00126</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0.00176*</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0.00146</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-0.00156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-0.00182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-0.00174</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-0.000951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-0.00164</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[-0.648]</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[1.063]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[0.911]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[1.681]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[1.042]</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[-0.465]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[-0.639]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[-0.617]</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[-0.465]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[-0.579]</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 xml:space="preserve">Cash holdings/total assets </w:t>
            </w:r>
            <w:r>
              <w:rPr>
                <w:rFonts w:ascii="Times New Roman" w:eastAsia="Times New Roman" w:hAnsi="Times New Roman"/>
                <w:color w:val="000000"/>
                <w:sz w:val="18"/>
                <w:szCs w:val="18"/>
              </w:rPr>
              <w:t>2006</w:t>
            </w: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-0.00498</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-0.0129</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-0.0138</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-0.0037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-0.013</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-0.00915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-0.0353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-0.0343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-0.0302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-0.0339</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[-0.583]</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[-1.413]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[-1.511]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[-0.511]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[-1.420]</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[-0.274]</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[-1.255]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[-1.257]</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[-1.528]</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[-1.210]</w:t>
            </w:r>
          </w:p>
        </w:tc>
      </w:tr>
      <w:tr w:rsidR="00F94353" w:rsidRPr="004A1153" w:rsidTr="00F94353">
        <w:trPr>
          <w:trHeight w:val="300"/>
        </w:trPr>
        <w:tc>
          <w:tcPr>
            <w:tcW w:w="2970" w:type="dxa"/>
            <w:gridSpan w:val="3"/>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Dependence on external finance</w:t>
            </w: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-0.00617**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-0.00618**</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0.00064</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0.000438</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17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[-2.177]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[-2.177]</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[0.229]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[0.156]</w:t>
            </w:r>
          </w:p>
        </w:tc>
      </w:tr>
      <w:tr w:rsidR="00F94353" w:rsidRPr="004A1153" w:rsidTr="00F94353">
        <w:trPr>
          <w:trHeight w:val="300"/>
        </w:trPr>
        <w:tc>
          <w:tcPr>
            <w:tcW w:w="4140" w:type="dxa"/>
            <w:gridSpan w:val="4"/>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Business cycle sensitivity</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0.00805</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0.00973</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-0.00232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0.000181</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[0.811]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[0.976]</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[-0.176]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[0.0136]</w:t>
            </w:r>
          </w:p>
        </w:tc>
      </w:tr>
      <w:tr w:rsidR="00F94353" w:rsidRPr="004A1153" w:rsidTr="00F94353">
        <w:trPr>
          <w:trHeight w:val="300"/>
        </w:trPr>
        <w:tc>
          <w:tcPr>
            <w:tcW w:w="288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Trade Sensitivity</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-0.00308</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0.00123</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-0.00206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-0.00621*</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[-0.915]</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[0.359]</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[-0.673]</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[-1.852]</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Constant</w:t>
            </w: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-0.199***</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0.0360*</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0.0377*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0.0489***</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0.0364*</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0.0688</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0.0349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0.0385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0.036</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[-3.561]</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[1.846]</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[1.936]</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[3.493]</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[1.868]</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[1.181]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[1.232]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[1.216]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[1.618]</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[1.224]</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Observations</w:t>
            </w: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4,940</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3,302</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3,302</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5,777</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3,302</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1,206</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1,022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1,022</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1,465</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1,022</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R-squared</w:t>
            </w: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0.054</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0.009</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0.011</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w:t>
            </w: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0.071</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0.009</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0.008</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0.01</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jc w:val="center"/>
              <w:rPr>
                <w:rFonts w:ascii="Times New Roman" w:eastAsia="Times New Roman" w:hAnsi="Times New Roman"/>
                <w:sz w:val="20"/>
                <w:szCs w:val="20"/>
              </w:rPr>
            </w:pP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861"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sz w:val="20"/>
                <w:szCs w:val="20"/>
              </w:rPr>
            </w:pP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Year dummies</w:t>
            </w: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861" w:type="dxa"/>
            <w:gridSpan w:val="2"/>
            <w:tcBorders>
              <w:top w:val="nil"/>
              <w:left w:val="nil"/>
              <w:bottom w:val="nil"/>
              <w:right w:val="nil"/>
            </w:tcBorders>
            <w:shd w:val="clear" w:color="auto" w:fill="auto"/>
            <w:noWrap/>
            <w:vAlign w:val="bottom"/>
            <w:hideMark/>
          </w:tcPr>
          <w:p w:rsidR="00F94353" w:rsidRPr="00F94353" w:rsidRDefault="007F0B2D" w:rsidP="00F94353">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y</w:t>
            </w:r>
            <w:r w:rsidR="00F94353" w:rsidRPr="00F94353">
              <w:rPr>
                <w:rFonts w:ascii="Times New Roman" w:eastAsia="Times New Roman" w:hAnsi="Times New Roman"/>
                <w:color w:val="000000"/>
                <w:sz w:val="18"/>
                <w:szCs w:val="18"/>
              </w:rPr>
              <w:t>es</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r>
      <w:tr w:rsidR="00F94353" w:rsidRPr="004A1153" w:rsidTr="00F94353">
        <w:trPr>
          <w:trHeight w:val="300"/>
        </w:trPr>
        <w:tc>
          <w:tcPr>
            <w:tcW w:w="18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Industry dummies</w:t>
            </w:r>
          </w:p>
        </w:tc>
        <w:tc>
          <w:tcPr>
            <w:tcW w:w="99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yes</w:t>
            </w:r>
          </w:p>
        </w:tc>
        <w:tc>
          <w:tcPr>
            <w:tcW w:w="12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1080" w:type="dxa"/>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861" w:type="dxa"/>
            <w:gridSpan w:val="2"/>
            <w:tcBorders>
              <w:top w:val="nil"/>
              <w:left w:val="nil"/>
              <w:bottom w:val="nil"/>
              <w:right w:val="nil"/>
            </w:tcBorders>
            <w:shd w:val="clear" w:color="auto" w:fill="auto"/>
            <w:noWrap/>
            <w:vAlign w:val="bottom"/>
            <w:hideMark/>
          </w:tcPr>
          <w:p w:rsidR="00F94353" w:rsidRPr="00F94353" w:rsidRDefault="007F0B2D" w:rsidP="00F94353">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y</w:t>
            </w:r>
            <w:r w:rsidR="00F94353" w:rsidRPr="00F94353">
              <w:rPr>
                <w:rFonts w:ascii="Times New Roman" w:eastAsia="Times New Roman" w:hAnsi="Times New Roman"/>
                <w:color w:val="000000"/>
                <w:sz w:val="18"/>
                <w:szCs w:val="18"/>
              </w:rPr>
              <w:t>es</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c>
          <w:tcPr>
            <w:tcW w:w="960" w:type="dxa"/>
            <w:gridSpan w:val="2"/>
            <w:tcBorders>
              <w:top w:val="nil"/>
              <w:left w:val="nil"/>
              <w:bottom w:val="nil"/>
              <w:right w:val="nil"/>
            </w:tcBorders>
            <w:shd w:val="clear" w:color="auto" w:fill="auto"/>
            <w:noWrap/>
            <w:vAlign w:val="bottom"/>
            <w:hideMark/>
          </w:tcPr>
          <w:p w:rsidR="00F94353" w:rsidRPr="00F94353" w:rsidRDefault="00F94353" w:rsidP="00F94353">
            <w:pPr>
              <w:spacing w:after="0" w:line="240" w:lineRule="auto"/>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no</w:t>
            </w:r>
          </w:p>
        </w:tc>
      </w:tr>
    </w:tbl>
    <w:p w:rsidR="00CC1321" w:rsidRDefault="00CC1321" w:rsidP="00AD7FE6">
      <w:pPr>
        <w:jc w:val="both"/>
        <w:rPr>
          <w:rFonts w:ascii="Times New Roman" w:eastAsia="Times New Roman" w:hAnsi="Times New Roman"/>
          <w:color w:val="000000"/>
          <w:sz w:val="20"/>
          <w:szCs w:val="20"/>
        </w:rPr>
      </w:pPr>
    </w:p>
    <w:p w:rsidR="00F94353" w:rsidRDefault="00F94353" w:rsidP="00C06EF7">
      <w:pPr>
        <w:spacing w:after="0" w:line="240" w:lineRule="auto"/>
        <w:jc w:val="both"/>
        <w:rPr>
          <w:rFonts w:ascii="Times New Roman" w:eastAsia="Times New Roman" w:hAnsi="Times New Roman"/>
          <w:color w:val="000000"/>
          <w:sz w:val="18"/>
          <w:szCs w:val="18"/>
        </w:rPr>
      </w:pPr>
      <w:r w:rsidRPr="00F94353">
        <w:rPr>
          <w:rFonts w:ascii="Times New Roman" w:eastAsia="Times New Roman" w:hAnsi="Times New Roman"/>
          <w:color w:val="000000"/>
          <w:sz w:val="18"/>
          <w:szCs w:val="18"/>
        </w:rPr>
        <w:t>*** p&lt;0.01, ** p&lt;0.05, * p&lt;0.1</w:t>
      </w:r>
    </w:p>
    <w:p w:rsidR="00C06EF7" w:rsidRPr="002B52BC" w:rsidRDefault="00C06EF7" w:rsidP="00C06EF7">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18"/>
          <w:szCs w:val="18"/>
        </w:rPr>
        <w:br w:type="page"/>
      </w:r>
    </w:p>
    <w:tbl>
      <w:tblPr>
        <w:tblpPr w:leftFromText="180" w:rightFromText="180" w:horzAnchor="margin" w:tblpY="-705"/>
        <w:tblW w:w="12240" w:type="dxa"/>
        <w:tblLook w:val="04A0" w:firstRow="1" w:lastRow="0" w:firstColumn="1" w:lastColumn="0" w:noHBand="0" w:noVBand="1"/>
      </w:tblPr>
      <w:tblGrid>
        <w:gridCol w:w="2097"/>
        <w:gridCol w:w="981"/>
        <w:gridCol w:w="1035"/>
        <w:gridCol w:w="1035"/>
        <w:gridCol w:w="1071"/>
        <w:gridCol w:w="1035"/>
        <w:gridCol w:w="1035"/>
        <w:gridCol w:w="960"/>
        <w:gridCol w:w="960"/>
        <w:gridCol w:w="1071"/>
        <w:gridCol w:w="960"/>
      </w:tblGrid>
      <w:tr w:rsidR="00CC1321" w:rsidRPr="004A1153" w:rsidTr="00593790">
        <w:trPr>
          <w:trHeight w:val="300"/>
        </w:trPr>
        <w:tc>
          <w:tcPr>
            <w:tcW w:w="7254" w:type="dxa"/>
            <w:gridSpan w:val="6"/>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C1321" w:rsidRPr="004A1153" w:rsidTr="00593790">
        <w:trPr>
          <w:trHeight w:val="300"/>
        </w:trPr>
        <w:tc>
          <w:tcPr>
            <w:tcW w:w="6219" w:type="dxa"/>
            <w:gridSpan w:val="5"/>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C1321" w:rsidRPr="004A1153" w:rsidTr="00593790">
        <w:trPr>
          <w:trHeight w:val="285"/>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3051" w:type="dxa"/>
            <w:gridSpan w:val="3"/>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2955" w:type="dxa"/>
            <w:gridSpan w:val="3"/>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b/>
                <w:bCs/>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C1321" w:rsidRPr="004A1153" w:rsidTr="0009207F">
        <w:trPr>
          <w:trHeight w:val="300"/>
        </w:trPr>
        <w:tc>
          <w:tcPr>
            <w:tcW w:w="3078" w:type="dxa"/>
            <w:gridSpan w:val="2"/>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4113" w:type="dxa"/>
            <w:gridSpan w:val="3"/>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3078" w:type="dxa"/>
            <w:gridSpan w:val="2"/>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4113" w:type="dxa"/>
            <w:gridSpan w:val="3"/>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CC1321" w:rsidRPr="00885B3F" w:rsidRDefault="00CC1321" w:rsidP="0009207F">
            <w:pPr>
              <w:spacing w:after="0" w:line="240" w:lineRule="auto"/>
              <w:jc w:val="both"/>
              <w:rPr>
                <w:rFonts w:ascii="Times New Roman" w:eastAsia="Times New Roman" w:hAnsi="Times New Roman"/>
                <w:color w:val="000000"/>
                <w:sz w:val="18"/>
                <w:szCs w:val="18"/>
              </w:rPr>
            </w:pPr>
          </w:p>
        </w:tc>
      </w:tr>
      <w:tr w:rsidR="00C34D3C" w:rsidRPr="004A1153" w:rsidTr="0009207F">
        <w:trPr>
          <w:trHeight w:val="300"/>
        </w:trPr>
        <w:tc>
          <w:tcPr>
            <w:tcW w:w="2097"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981"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35"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1071"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c>
          <w:tcPr>
            <w:tcW w:w="960" w:type="dxa"/>
            <w:tcBorders>
              <w:top w:val="nil"/>
              <w:left w:val="nil"/>
              <w:bottom w:val="nil"/>
              <w:right w:val="nil"/>
            </w:tcBorders>
            <w:shd w:val="clear" w:color="auto" w:fill="auto"/>
            <w:noWrap/>
            <w:vAlign w:val="bottom"/>
          </w:tcPr>
          <w:p w:rsidR="0009207F" w:rsidRPr="00885B3F" w:rsidRDefault="0009207F" w:rsidP="0009207F">
            <w:pPr>
              <w:spacing w:after="0" w:line="240" w:lineRule="auto"/>
              <w:jc w:val="both"/>
              <w:rPr>
                <w:rFonts w:ascii="Times New Roman" w:eastAsia="Times New Roman" w:hAnsi="Times New Roman"/>
                <w:color w:val="000000"/>
                <w:sz w:val="18"/>
                <w:szCs w:val="18"/>
              </w:rPr>
            </w:pPr>
          </w:p>
        </w:tc>
      </w:tr>
    </w:tbl>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885B3F" w:rsidRDefault="00CC1321" w:rsidP="00AD7FE6">
      <w:pPr>
        <w:jc w:val="both"/>
        <w:rPr>
          <w:rFonts w:ascii="Times New Roman" w:hAnsi="Times New Roman"/>
          <w:sz w:val="18"/>
          <w:szCs w:val="18"/>
        </w:rPr>
      </w:pPr>
    </w:p>
    <w:p w:rsidR="00CC1321" w:rsidRPr="002B52BC" w:rsidRDefault="00CC1321" w:rsidP="00AD7FE6">
      <w:pPr>
        <w:jc w:val="both"/>
        <w:rPr>
          <w:rFonts w:ascii="Times New Roman" w:hAnsi="Times New Roman"/>
          <w:sz w:val="24"/>
          <w:szCs w:val="24"/>
        </w:rPr>
      </w:pPr>
    </w:p>
    <w:p w:rsidR="00CC1321" w:rsidRPr="002B52BC" w:rsidRDefault="00CC1321" w:rsidP="00AD7FE6">
      <w:pPr>
        <w:jc w:val="both"/>
        <w:rPr>
          <w:rFonts w:ascii="Times New Roman" w:hAnsi="Times New Roman"/>
          <w:sz w:val="24"/>
          <w:szCs w:val="24"/>
        </w:rPr>
      </w:pPr>
    </w:p>
    <w:p w:rsidR="00CC1321" w:rsidRPr="002B52BC" w:rsidRDefault="00CC1321" w:rsidP="00AD7FE6">
      <w:pPr>
        <w:jc w:val="both"/>
        <w:rPr>
          <w:rFonts w:ascii="Times New Roman" w:hAnsi="Times New Roman"/>
          <w:sz w:val="24"/>
          <w:szCs w:val="24"/>
        </w:rPr>
      </w:pPr>
    </w:p>
    <w:p w:rsidR="00CC1321" w:rsidRPr="002B52BC" w:rsidRDefault="00CC1321" w:rsidP="00AD7FE6">
      <w:pPr>
        <w:jc w:val="both"/>
        <w:rPr>
          <w:rFonts w:ascii="Times New Roman" w:hAnsi="Times New Roman"/>
          <w:sz w:val="24"/>
          <w:szCs w:val="24"/>
        </w:rPr>
      </w:pPr>
    </w:p>
    <w:sectPr w:rsidR="00CC1321" w:rsidRPr="002B52BC" w:rsidSect="002C2F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96" w:rsidRDefault="00950A96" w:rsidP="002E4B90">
      <w:pPr>
        <w:spacing w:after="0" w:line="240" w:lineRule="auto"/>
      </w:pPr>
      <w:r>
        <w:separator/>
      </w:r>
    </w:p>
  </w:endnote>
  <w:endnote w:type="continuationSeparator" w:id="0">
    <w:p w:rsidR="00950A96" w:rsidRDefault="00950A96" w:rsidP="002E4B90">
      <w:pPr>
        <w:spacing w:after="0" w:line="240" w:lineRule="auto"/>
      </w:pPr>
      <w:r>
        <w:continuationSeparator/>
      </w:r>
    </w:p>
  </w:endnote>
  <w:endnote w:type="continuationNotice" w:id="1">
    <w:p w:rsidR="00950A96" w:rsidRDefault="00950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F7" w:rsidRDefault="00C06EF7">
    <w:pPr>
      <w:pStyle w:val="Footer"/>
      <w:jc w:val="right"/>
    </w:pPr>
    <w:r>
      <w:fldChar w:fldCharType="begin"/>
    </w:r>
    <w:r>
      <w:instrText xml:space="preserve"> PAGE   \* MERGEFORMAT </w:instrText>
    </w:r>
    <w:r>
      <w:fldChar w:fldCharType="separate"/>
    </w:r>
    <w:r w:rsidR="002100AE">
      <w:rPr>
        <w:noProof/>
      </w:rPr>
      <w:t>1</w:t>
    </w:r>
    <w:r>
      <w:rPr>
        <w:noProof/>
      </w:rPr>
      <w:fldChar w:fldCharType="end"/>
    </w:r>
  </w:p>
  <w:p w:rsidR="00C06EF7" w:rsidRDefault="00C06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96" w:rsidRDefault="00950A96" w:rsidP="002E4B90">
      <w:pPr>
        <w:spacing w:after="0" w:line="240" w:lineRule="auto"/>
      </w:pPr>
      <w:r>
        <w:separator/>
      </w:r>
    </w:p>
  </w:footnote>
  <w:footnote w:type="continuationSeparator" w:id="0">
    <w:p w:rsidR="00950A96" w:rsidRDefault="00950A96" w:rsidP="002E4B90">
      <w:pPr>
        <w:spacing w:after="0" w:line="240" w:lineRule="auto"/>
      </w:pPr>
      <w:r>
        <w:continuationSeparator/>
      </w:r>
    </w:p>
  </w:footnote>
  <w:footnote w:type="continuationNotice" w:id="1">
    <w:p w:rsidR="00950A96" w:rsidRDefault="00950A96">
      <w:pPr>
        <w:spacing w:after="0" w:line="240" w:lineRule="auto"/>
      </w:pPr>
    </w:p>
  </w:footnote>
  <w:footnote w:id="2">
    <w:p w:rsidR="00C06EF7" w:rsidRPr="002836AE" w:rsidRDefault="00C06EF7" w:rsidP="00CC1321">
      <w:pPr>
        <w:pStyle w:val="FootnoteText"/>
        <w:rPr>
          <w:rFonts w:ascii="Times New Roman" w:hAnsi="Times New Roman"/>
        </w:rPr>
      </w:pPr>
      <w:r>
        <w:rPr>
          <w:rStyle w:val="FootnoteReference"/>
        </w:rPr>
        <w:footnoteRef/>
      </w:r>
      <w:r>
        <w:t xml:space="preserve"> </w:t>
      </w:r>
      <w:r w:rsidRPr="002836AE">
        <w:rPr>
          <w:rFonts w:ascii="Times New Roman" w:hAnsi="Times New Roman"/>
        </w:rPr>
        <w:t>Accounting for profitability does not change the results.</w:t>
      </w:r>
    </w:p>
  </w:footnote>
  <w:footnote w:id="3">
    <w:p w:rsidR="00C06EF7" w:rsidRPr="002836AE" w:rsidRDefault="00C06EF7" w:rsidP="00CC1321">
      <w:pPr>
        <w:pStyle w:val="FootnoteText"/>
        <w:rPr>
          <w:rFonts w:ascii="Times New Roman" w:hAnsi="Times New Roman"/>
        </w:rPr>
      </w:pPr>
      <w:r w:rsidRPr="002836AE">
        <w:rPr>
          <w:rStyle w:val="FootnoteReference"/>
          <w:rFonts w:ascii="Times New Roman" w:hAnsi="Times New Roman"/>
        </w:rPr>
        <w:footnoteRef/>
      </w:r>
      <w:r w:rsidRPr="002836AE">
        <w:rPr>
          <w:rFonts w:ascii="Times New Roman" w:hAnsi="Times New Roman"/>
        </w:rPr>
        <w:t xml:space="preserve"> See </w:t>
      </w:r>
      <w:r>
        <w:rPr>
          <w:rFonts w:ascii="Times New Roman" w:hAnsi="Times New Roman"/>
        </w:rPr>
        <w:t>Claessens et al (2</w:t>
      </w:r>
      <w:r w:rsidRPr="002836AE">
        <w:rPr>
          <w:rFonts w:ascii="Times New Roman" w:hAnsi="Times New Roman"/>
        </w:rPr>
        <w:t>012</w:t>
      </w:r>
      <w:r>
        <w:rPr>
          <w:rFonts w:ascii="Times New Roman" w:hAnsi="Times New Roman"/>
        </w:rPr>
        <w:t>)</w:t>
      </w:r>
    </w:p>
    <w:p w:rsidR="00C06EF7" w:rsidRPr="00885B3F" w:rsidRDefault="00C06EF7" w:rsidP="00CC1321">
      <w:pPr>
        <w:pStyle w:val="FootnoteText"/>
        <w:rPr>
          <w:rFonts w:ascii="Times New Roman" w:hAnsi="Times New Roman"/>
        </w:rPr>
      </w:pPr>
    </w:p>
  </w:footnote>
  <w:footnote w:id="4">
    <w:p w:rsidR="00C06EF7" w:rsidRPr="00FF379D" w:rsidRDefault="00C06EF7">
      <w:pPr>
        <w:pStyle w:val="FootnoteText"/>
        <w:rPr>
          <w:rFonts w:ascii="Times New Roman" w:hAnsi="Times New Roman"/>
        </w:rPr>
      </w:pPr>
      <w:r>
        <w:rPr>
          <w:rStyle w:val="FootnoteReference"/>
        </w:rPr>
        <w:footnoteRef/>
      </w:r>
      <w:r>
        <w:t xml:space="preserve"> </w:t>
      </w:r>
      <w:r>
        <w:rPr>
          <w:rFonts w:ascii="Times New Roman" w:hAnsi="Times New Roman"/>
        </w:rPr>
        <w:t>Blundell and Bond</w:t>
      </w:r>
      <w:r w:rsidRPr="00FF379D">
        <w:rPr>
          <w:rFonts w:ascii="Times New Roman" w:hAnsi="Times New Roman"/>
        </w:rPr>
        <w:t xml:space="preserve"> </w:t>
      </w:r>
      <w:r>
        <w:rPr>
          <w:rFonts w:ascii="Times New Roman" w:hAnsi="Times New Roman"/>
        </w:rPr>
        <w:t>(</w:t>
      </w:r>
      <w:r w:rsidRPr="00FF379D">
        <w:rPr>
          <w:rFonts w:ascii="Times New Roman" w:hAnsi="Times New Roman"/>
        </w:rPr>
        <w:t>1998</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E07A8"/>
    <w:multiLevelType w:val="hybridMultilevel"/>
    <w:tmpl w:val="36163FF2"/>
    <w:lvl w:ilvl="0" w:tplc="DD685E40">
      <w:numFmt w:val="bullet"/>
      <w:lvlText w:val="-"/>
      <w:lvlJc w:val="left"/>
      <w:pPr>
        <w:ind w:left="720" w:hanging="360"/>
      </w:pPr>
      <w:rPr>
        <w:rFonts w:ascii="Cambria Math" w:eastAsia="Calibri"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13213"/>
    <w:multiLevelType w:val="hybridMultilevel"/>
    <w:tmpl w:val="790C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59A7"/>
    <w:rsid w:val="00005F58"/>
    <w:rsid w:val="00014983"/>
    <w:rsid w:val="00025060"/>
    <w:rsid w:val="0003288C"/>
    <w:rsid w:val="0003470D"/>
    <w:rsid w:val="00041D82"/>
    <w:rsid w:val="00050D0E"/>
    <w:rsid w:val="000548F7"/>
    <w:rsid w:val="000868A7"/>
    <w:rsid w:val="0009207F"/>
    <w:rsid w:val="00097C1E"/>
    <w:rsid w:val="000A5153"/>
    <w:rsid w:val="000A72AC"/>
    <w:rsid w:val="000A7D35"/>
    <w:rsid w:val="000C4862"/>
    <w:rsid w:val="000C52ED"/>
    <w:rsid w:val="000E0479"/>
    <w:rsid w:val="000E2382"/>
    <w:rsid w:val="000E6779"/>
    <w:rsid w:val="000F33C2"/>
    <w:rsid w:val="0010798D"/>
    <w:rsid w:val="001143B7"/>
    <w:rsid w:val="0012542E"/>
    <w:rsid w:val="0012792C"/>
    <w:rsid w:val="0013030F"/>
    <w:rsid w:val="001306C3"/>
    <w:rsid w:val="001332A8"/>
    <w:rsid w:val="001351DA"/>
    <w:rsid w:val="00137091"/>
    <w:rsid w:val="00146B30"/>
    <w:rsid w:val="00150D4C"/>
    <w:rsid w:val="00154075"/>
    <w:rsid w:val="00163D33"/>
    <w:rsid w:val="0016407B"/>
    <w:rsid w:val="00166B9D"/>
    <w:rsid w:val="00171DE5"/>
    <w:rsid w:val="001839AD"/>
    <w:rsid w:val="00185A69"/>
    <w:rsid w:val="00190A83"/>
    <w:rsid w:val="001950B9"/>
    <w:rsid w:val="001959A7"/>
    <w:rsid w:val="00196E35"/>
    <w:rsid w:val="001A0F9A"/>
    <w:rsid w:val="001A42AB"/>
    <w:rsid w:val="001A4934"/>
    <w:rsid w:val="001B4615"/>
    <w:rsid w:val="001D136E"/>
    <w:rsid w:val="001E2786"/>
    <w:rsid w:val="001E7519"/>
    <w:rsid w:val="001E7B01"/>
    <w:rsid w:val="001F3CB3"/>
    <w:rsid w:val="001F6501"/>
    <w:rsid w:val="00202673"/>
    <w:rsid w:val="002100AE"/>
    <w:rsid w:val="00210A75"/>
    <w:rsid w:val="00223020"/>
    <w:rsid w:val="002269D9"/>
    <w:rsid w:val="00256A38"/>
    <w:rsid w:val="00257D2A"/>
    <w:rsid w:val="00265D87"/>
    <w:rsid w:val="00266ACC"/>
    <w:rsid w:val="002677D0"/>
    <w:rsid w:val="00273DEC"/>
    <w:rsid w:val="0027644E"/>
    <w:rsid w:val="00281BB0"/>
    <w:rsid w:val="002836AE"/>
    <w:rsid w:val="00290E00"/>
    <w:rsid w:val="00291FC8"/>
    <w:rsid w:val="00294F38"/>
    <w:rsid w:val="002A4780"/>
    <w:rsid w:val="002B52BC"/>
    <w:rsid w:val="002C0130"/>
    <w:rsid w:val="002C1B33"/>
    <w:rsid w:val="002C2F9F"/>
    <w:rsid w:val="002C35FF"/>
    <w:rsid w:val="002C4837"/>
    <w:rsid w:val="002C60A5"/>
    <w:rsid w:val="002C7D23"/>
    <w:rsid w:val="002D3B95"/>
    <w:rsid w:val="002E4B90"/>
    <w:rsid w:val="00324C26"/>
    <w:rsid w:val="00326352"/>
    <w:rsid w:val="003340DB"/>
    <w:rsid w:val="003507D1"/>
    <w:rsid w:val="00361F13"/>
    <w:rsid w:val="003666BE"/>
    <w:rsid w:val="00371B48"/>
    <w:rsid w:val="00386406"/>
    <w:rsid w:val="003930F4"/>
    <w:rsid w:val="003B5434"/>
    <w:rsid w:val="003E00FD"/>
    <w:rsid w:val="003E14D7"/>
    <w:rsid w:val="003E464B"/>
    <w:rsid w:val="003F45FC"/>
    <w:rsid w:val="003F660F"/>
    <w:rsid w:val="00435828"/>
    <w:rsid w:val="00463320"/>
    <w:rsid w:val="00467987"/>
    <w:rsid w:val="0047312C"/>
    <w:rsid w:val="004834FB"/>
    <w:rsid w:val="00485D67"/>
    <w:rsid w:val="004929B9"/>
    <w:rsid w:val="00492BE4"/>
    <w:rsid w:val="00493D13"/>
    <w:rsid w:val="004A1153"/>
    <w:rsid w:val="004A38D4"/>
    <w:rsid w:val="004B1F20"/>
    <w:rsid w:val="004B7A4C"/>
    <w:rsid w:val="004C140E"/>
    <w:rsid w:val="004C45CD"/>
    <w:rsid w:val="004C5585"/>
    <w:rsid w:val="004D6C3C"/>
    <w:rsid w:val="004D7161"/>
    <w:rsid w:val="004F4D6E"/>
    <w:rsid w:val="00516D35"/>
    <w:rsid w:val="00520C4E"/>
    <w:rsid w:val="00521F5A"/>
    <w:rsid w:val="00526570"/>
    <w:rsid w:val="00553B13"/>
    <w:rsid w:val="00553CD3"/>
    <w:rsid w:val="00557B39"/>
    <w:rsid w:val="005636EB"/>
    <w:rsid w:val="00564CC6"/>
    <w:rsid w:val="0056533A"/>
    <w:rsid w:val="00570390"/>
    <w:rsid w:val="005742C1"/>
    <w:rsid w:val="005834C0"/>
    <w:rsid w:val="00593790"/>
    <w:rsid w:val="005A180A"/>
    <w:rsid w:val="005A18B0"/>
    <w:rsid w:val="005B368D"/>
    <w:rsid w:val="005B5956"/>
    <w:rsid w:val="005B7470"/>
    <w:rsid w:val="005C2DD0"/>
    <w:rsid w:val="005C3A55"/>
    <w:rsid w:val="005C62EC"/>
    <w:rsid w:val="005C6FCE"/>
    <w:rsid w:val="005D4F34"/>
    <w:rsid w:val="005F4C76"/>
    <w:rsid w:val="005F7D3A"/>
    <w:rsid w:val="0060128E"/>
    <w:rsid w:val="0060499A"/>
    <w:rsid w:val="00604FC2"/>
    <w:rsid w:val="00613787"/>
    <w:rsid w:val="00617B9A"/>
    <w:rsid w:val="00621B7D"/>
    <w:rsid w:val="00624AFD"/>
    <w:rsid w:val="00630BE8"/>
    <w:rsid w:val="00641B46"/>
    <w:rsid w:val="00645DFD"/>
    <w:rsid w:val="0067131F"/>
    <w:rsid w:val="0068087F"/>
    <w:rsid w:val="006829B2"/>
    <w:rsid w:val="006A19D2"/>
    <w:rsid w:val="006A4179"/>
    <w:rsid w:val="006A4826"/>
    <w:rsid w:val="006B6B38"/>
    <w:rsid w:val="006B7BE9"/>
    <w:rsid w:val="006C07ED"/>
    <w:rsid w:val="006C1D21"/>
    <w:rsid w:val="006C2018"/>
    <w:rsid w:val="006F1A1D"/>
    <w:rsid w:val="006F57F0"/>
    <w:rsid w:val="00714D8B"/>
    <w:rsid w:val="00735017"/>
    <w:rsid w:val="007602A2"/>
    <w:rsid w:val="00760FB1"/>
    <w:rsid w:val="007656EF"/>
    <w:rsid w:val="00770670"/>
    <w:rsid w:val="00796B0F"/>
    <w:rsid w:val="007A0A73"/>
    <w:rsid w:val="007A3B40"/>
    <w:rsid w:val="007A4B17"/>
    <w:rsid w:val="007A4B6E"/>
    <w:rsid w:val="007B4AB6"/>
    <w:rsid w:val="007C586D"/>
    <w:rsid w:val="007D13E0"/>
    <w:rsid w:val="007F0B2D"/>
    <w:rsid w:val="007F1BA6"/>
    <w:rsid w:val="00803464"/>
    <w:rsid w:val="008137E6"/>
    <w:rsid w:val="00835046"/>
    <w:rsid w:val="00836EFB"/>
    <w:rsid w:val="00842800"/>
    <w:rsid w:val="00843A0F"/>
    <w:rsid w:val="00845B11"/>
    <w:rsid w:val="00846341"/>
    <w:rsid w:val="00850902"/>
    <w:rsid w:val="0086303F"/>
    <w:rsid w:val="0086376E"/>
    <w:rsid w:val="00866EEC"/>
    <w:rsid w:val="00885B3F"/>
    <w:rsid w:val="00890362"/>
    <w:rsid w:val="00891ACF"/>
    <w:rsid w:val="00894DBB"/>
    <w:rsid w:val="008A0276"/>
    <w:rsid w:val="008B2DDD"/>
    <w:rsid w:val="008C4172"/>
    <w:rsid w:val="008D0A5A"/>
    <w:rsid w:val="008D78F1"/>
    <w:rsid w:val="008E2AC3"/>
    <w:rsid w:val="008F796A"/>
    <w:rsid w:val="0090121B"/>
    <w:rsid w:val="00904786"/>
    <w:rsid w:val="00906EDB"/>
    <w:rsid w:val="00921282"/>
    <w:rsid w:val="00921C50"/>
    <w:rsid w:val="00934377"/>
    <w:rsid w:val="00950A96"/>
    <w:rsid w:val="00950CDB"/>
    <w:rsid w:val="00952697"/>
    <w:rsid w:val="009710F9"/>
    <w:rsid w:val="0097110F"/>
    <w:rsid w:val="00973B2E"/>
    <w:rsid w:val="00976934"/>
    <w:rsid w:val="00983604"/>
    <w:rsid w:val="00985035"/>
    <w:rsid w:val="0099379F"/>
    <w:rsid w:val="009A32BE"/>
    <w:rsid w:val="009A37AD"/>
    <w:rsid w:val="009A7622"/>
    <w:rsid w:val="009B685B"/>
    <w:rsid w:val="009C1C4C"/>
    <w:rsid w:val="009C68C9"/>
    <w:rsid w:val="009D6B54"/>
    <w:rsid w:val="009E4EB2"/>
    <w:rsid w:val="009F1A97"/>
    <w:rsid w:val="00A14FA1"/>
    <w:rsid w:val="00A3126C"/>
    <w:rsid w:val="00A3690E"/>
    <w:rsid w:val="00A36BB1"/>
    <w:rsid w:val="00A376C9"/>
    <w:rsid w:val="00A43E82"/>
    <w:rsid w:val="00A443AC"/>
    <w:rsid w:val="00A44A0D"/>
    <w:rsid w:val="00A62F96"/>
    <w:rsid w:val="00A80A1C"/>
    <w:rsid w:val="00A92158"/>
    <w:rsid w:val="00A952C5"/>
    <w:rsid w:val="00AB1D74"/>
    <w:rsid w:val="00AB5951"/>
    <w:rsid w:val="00AC3330"/>
    <w:rsid w:val="00AD3206"/>
    <w:rsid w:val="00AD7FE6"/>
    <w:rsid w:val="00AE0B21"/>
    <w:rsid w:val="00AE286A"/>
    <w:rsid w:val="00AE7604"/>
    <w:rsid w:val="00B142D3"/>
    <w:rsid w:val="00B26FFC"/>
    <w:rsid w:val="00B27E6C"/>
    <w:rsid w:val="00B30E4F"/>
    <w:rsid w:val="00B47303"/>
    <w:rsid w:val="00B80043"/>
    <w:rsid w:val="00BA551D"/>
    <w:rsid w:val="00BB093C"/>
    <w:rsid w:val="00BB5B4D"/>
    <w:rsid w:val="00BC6B40"/>
    <w:rsid w:val="00BD66E6"/>
    <w:rsid w:val="00BE52DA"/>
    <w:rsid w:val="00BE633E"/>
    <w:rsid w:val="00BF2824"/>
    <w:rsid w:val="00C06EF7"/>
    <w:rsid w:val="00C10816"/>
    <w:rsid w:val="00C20D39"/>
    <w:rsid w:val="00C216F4"/>
    <w:rsid w:val="00C34D3C"/>
    <w:rsid w:val="00C376F1"/>
    <w:rsid w:val="00C45652"/>
    <w:rsid w:val="00C4799D"/>
    <w:rsid w:val="00C50E67"/>
    <w:rsid w:val="00C6418E"/>
    <w:rsid w:val="00C64D0B"/>
    <w:rsid w:val="00C933E5"/>
    <w:rsid w:val="00C9590F"/>
    <w:rsid w:val="00C95A0E"/>
    <w:rsid w:val="00CB5599"/>
    <w:rsid w:val="00CC056E"/>
    <w:rsid w:val="00CC1321"/>
    <w:rsid w:val="00CC33DB"/>
    <w:rsid w:val="00CE598F"/>
    <w:rsid w:val="00CF2F24"/>
    <w:rsid w:val="00CF7C38"/>
    <w:rsid w:val="00D05FAF"/>
    <w:rsid w:val="00D112A9"/>
    <w:rsid w:val="00D15754"/>
    <w:rsid w:val="00D238EA"/>
    <w:rsid w:val="00D3358B"/>
    <w:rsid w:val="00D40A74"/>
    <w:rsid w:val="00D41B3A"/>
    <w:rsid w:val="00D50A35"/>
    <w:rsid w:val="00D513C3"/>
    <w:rsid w:val="00D51B9F"/>
    <w:rsid w:val="00D5485F"/>
    <w:rsid w:val="00D54989"/>
    <w:rsid w:val="00D56D24"/>
    <w:rsid w:val="00D715AA"/>
    <w:rsid w:val="00D754B9"/>
    <w:rsid w:val="00D773EC"/>
    <w:rsid w:val="00D839FB"/>
    <w:rsid w:val="00D878E8"/>
    <w:rsid w:val="00DB1516"/>
    <w:rsid w:val="00DB64CE"/>
    <w:rsid w:val="00DC25EF"/>
    <w:rsid w:val="00DE2615"/>
    <w:rsid w:val="00DE3363"/>
    <w:rsid w:val="00DE630E"/>
    <w:rsid w:val="00E348DC"/>
    <w:rsid w:val="00E43558"/>
    <w:rsid w:val="00E57170"/>
    <w:rsid w:val="00E665CA"/>
    <w:rsid w:val="00E70DDB"/>
    <w:rsid w:val="00E72923"/>
    <w:rsid w:val="00E87044"/>
    <w:rsid w:val="00EA2FAD"/>
    <w:rsid w:val="00EA65CF"/>
    <w:rsid w:val="00EB5D59"/>
    <w:rsid w:val="00EC04AF"/>
    <w:rsid w:val="00EC3F5D"/>
    <w:rsid w:val="00EC4A5B"/>
    <w:rsid w:val="00EC4BF5"/>
    <w:rsid w:val="00ED673D"/>
    <w:rsid w:val="00EF26AC"/>
    <w:rsid w:val="00EF5AE9"/>
    <w:rsid w:val="00EF701D"/>
    <w:rsid w:val="00F0354D"/>
    <w:rsid w:val="00F0474E"/>
    <w:rsid w:val="00F04F71"/>
    <w:rsid w:val="00F36209"/>
    <w:rsid w:val="00F36CD2"/>
    <w:rsid w:val="00F42776"/>
    <w:rsid w:val="00F55973"/>
    <w:rsid w:val="00F56667"/>
    <w:rsid w:val="00F67FA1"/>
    <w:rsid w:val="00F87246"/>
    <w:rsid w:val="00F94353"/>
    <w:rsid w:val="00FA29D3"/>
    <w:rsid w:val="00FB3F1B"/>
    <w:rsid w:val="00FB5905"/>
    <w:rsid w:val="00FC1FF5"/>
    <w:rsid w:val="00FC2AB5"/>
    <w:rsid w:val="00FD0A25"/>
    <w:rsid w:val="00FD12DD"/>
    <w:rsid w:val="00FD1EE6"/>
    <w:rsid w:val="00FE7380"/>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9871BF-3761-45D0-AD27-7BFB58B2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Calibri" w:hAnsi="Cambria Math"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D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4B90"/>
    <w:pPr>
      <w:spacing w:after="0" w:line="240" w:lineRule="auto"/>
    </w:pPr>
    <w:rPr>
      <w:sz w:val="20"/>
      <w:szCs w:val="20"/>
    </w:rPr>
  </w:style>
  <w:style w:type="character" w:customStyle="1" w:styleId="FootnoteTextChar">
    <w:name w:val="Footnote Text Char"/>
    <w:link w:val="FootnoteText"/>
    <w:uiPriority w:val="99"/>
    <w:rsid w:val="002E4B90"/>
    <w:rPr>
      <w:sz w:val="20"/>
      <w:szCs w:val="20"/>
    </w:rPr>
  </w:style>
  <w:style w:type="character" w:styleId="FootnoteReference">
    <w:name w:val="footnote reference"/>
    <w:uiPriority w:val="99"/>
    <w:unhideWhenUsed/>
    <w:rsid w:val="002E4B90"/>
    <w:rPr>
      <w:vertAlign w:val="superscript"/>
    </w:rPr>
  </w:style>
  <w:style w:type="paragraph" w:styleId="Header">
    <w:name w:val="header"/>
    <w:basedOn w:val="Normal"/>
    <w:link w:val="HeaderChar"/>
    <w:uiPriority w:val="99"/>
    <w:unhideWhenUsed/>
    <w:rsid w:val="00FB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1B"/>
  </w:style>
  <w:style w:type="paragraph" w:styleId="Footer">
    <w:name w:val="footer"/>
    <w:basedOn w:val="Normal"/>
    <w:link w:val="FooterChar"/>
    <w:uiPriority w:val="99"/>
    <w:unhideWhenUsed/>
    <w:rsid w:val="00FB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1B"/>
  </w:style>
  <w:style w:type="paragraph" w:customStyle="1" w:styleId="ColorfulList-Accent11">
    <w:name w:val="Colorful List - Accent 11"/>
    <w:basedOn w:val="Normal"/>
    <w:uiPriority w:val="34"/>
    <w:qFormat/>
    <w:rsid w:val="005B5956"/>
    <w:pPr>
      <w:ind w:left="720"/>
      <w:contextualSpacing/>
    </w:pPr>
  </w:style>
  <w:style w:type="character" w:styleId="Hyperlink">
    <w:name w:val="Hyperlink"/>
    <w:uiPriority w:val="99"/>
    <w:unhideWhenUsed/>
    <w:rsid w:val="006C07ED"/>
    <w:rPr>
      <w:color w:val="0563C1"/>
      <w:u w:val="single"/>
    </w:rPr>
  </w:style>
  <w:style w:type="paragraph" w:styleId="HTMLPreformatted">
    <w:name w:val="HTML Preformatted"/>
    <w:basedOn w:val="Normal"/>
    <w:link w:val="HTMLPreformattedChar"/>
    <w:uiPriority w:val="99"/>
    <w:unhideWhenUsed/>
    <w:rsid w:val="001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1306C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2542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2542E"/>
    <w:rPr>
      <w:rFonts w:ascii="Lucida Grande" w:hAnsi="Lucida Grande" w:cs="Lucida Grande"/>
      <w:sz w:val="18"/>
      <w:szCs w:val="18"/>
    </w:rPr>
  </w:style>
  <w:style w:type="paragraph" w:styleId="Revision">
    <w:name w:val="Revision"/>
    <w:hidden/>
    <w:uiPriority w:val="71"/>
    <w:rsid w:val="00C34D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054">
      <w:bodyDiv w:val="1"/>
      <w:marLeft w:val="0"/>
      <w:marRight w:val="0"/>
      <w:marTop w:val="0"/>
      <w:marBottom w:val="0"/>
      <w:divBdr>
        <w:top w:val="none" w:sz="0" w:space="0" w:color="auto"/>
        <w:left w:val="none" w:sz="0" w:space="0" w:color="auto"/>
        <w:bottom w:val="none" w:sz="0" w:space="0" w:color="auto"/>
        <w:right w:val="none" w:sz="0" w:space="0" w:color="auto"/>
      </w:divBdr>
    </w:div>
    <w:div w:id="482552340">
      <w:bodyDiv w:val="1"/>
      <w:marLeft w:val="0"/>
      <w:marRight w:val="0"/>
      <w:marTop w:val="0"/>
      <w:marBottom w:val="0"/>
      <w:divBdr>
        <w:top w:val="none" w:sz="0" w:space="0" w:color="auto"/>
        <w:left w:val="none" w:sz="0" w:space="0" w:color="auto"/>
        <w:bottom w:val="none" w:sz="0" w:space="0" w:color="auto"/>
        <w:right w:val="none" w:sz="0" w:space="0" w:color="auto"/>
      </w:divBdr>
    </w:div>
    <w:div w:id="507794028">
      <w:bodyDiv w:val="1"/>
      <w:marLeft w:val="0"/>
      <w:marRight w:val="0"/>
      <w:marTop w:val="0"/>
      <w:marBottom w:val="0"/>
      <w:divBdr>
        <w:top w:val="none" w:sz="0" w:space="0" w:color="auto"/>
        <w:left w:val="none" w:sz="0" w:space="0" w:color="auto"/>
        <w:bottom w:val="none" w:sz="0" w:space="0" w:color="auto"/>
        <w:right w:val="none" w:sz="0" w:space="0" w:color="auto"/>
      </w:divBdr>
    </w:div>
    <w:div w:id="610670523">
      <w:bodyDiv w:val="1"/>
      <w:marLeft w:val="0"/>
      <w:marRight w:val="0"/>
      <w:marTop w:val="0"/>
      <w:marBottom w:val="0"/>
      <w:divBdr>
        <w:top w:val="none" w:sz="0" w:space="0" w:color="auto"/>
        <w:left w:val="none" w:sz="0" w:space="0" w:color="auto"/>
        <w:bottom w:val="none" w:sz="0" w:space="0" w:color="auto"/>
        <w:right w:val="none" w:sz="0" w:space="0" w:color="auto"/>
      </w:divBdr>
    </w:div>
    <w:div w:id="816335469">
      <w:bodyDiv w:val="1"/>
      <w:marLeft w:val="0"/>
      <w:marRight w:val="0"/>
      <w:marTop w:val="0"/>
      <w:marBottom w:val="0"/>
      <w:divBdr>
        <w:top w:val="none" w:sz="0" w:space="0" w:color="auto"/>
        <w:left w:val="none" w:sz="0" w:space="0" w:color="auto"/>
        <w:bottom w:val="none" w:sz="0" w:space="0" w:color="auto"/>
        <w:right w:val="none" w:sz="0" w:space="0" w:color="auto"/>
      </w:divBdr>
    </w:div>
    <w:div w:id="1183281595">
      <w:bodyDiv w:val="1"/>
      <w:marLeft w:val="0"/>
      <w:marRight w:val="0"/>
      <w:marTop w:val="0"/>
      <w:marBottom w:val="0"/>
      <w:divBdr>
        <w:top w:val="none" w:sz="0" w:space="0" w:color="auto"/>
        <w:left w:val="none" w:sz="0" w:space="0" w:color="auto"/>
        <w:bottom w:val="none" w:sz="0" w:space="0" w:color="auto"/>
        <w:right w:val="none" w:sz="0" w:space="0" w:color="auto"/>
      </w:divBdr>
    </w:div>
    <w:div w:id="1224832327">
      <w:bodyDiv w:val="1"/>
      <w:marLeft w:val="0"/>
      <w:marRight w:val="0"/>
      <w:marTop w:val="0"/>
      <w:marBottom w:val="0"/>
      <w:divBdr>
        <w:top w:val="none" w:sz="0" w:space="0" w:color="auto"/>
        <w:left w:val="none" w:sz="0" w:space="0" w:color="auto"/>
        <w:bottom w:val="none" w:sz="0" w:space="0" w:color="auto"/>
        <w:right w:val="none" w:sz="0" w:space="0" w:color="auto"/>
      </w:divBdr>
    </w:div>
    <w:div w:id="1354726505">
      <w:bodyDiv w:val="1"/>
      <w:marLeft w:val="0"/>
      <w:marRight w:val="0"/>
      <w:marTop w:val="0"/>
      <w:marBottom w:val="0"/>
      <w:divBdr>
        <w:top w:val="none" w:sz="0" w:space="0" w:color="auto"/>
        <w:left w:val="none" w:sz="0" w:space="0" w:color="auto"/>
        <w:bottom w:val="none" w:sz="0" w:space="0" w:color="auto"/>
        <w:right w:val="none" w:sz="0" w:space="0" w:color="auto"/>
      </w:divBdr>
    </w:div>
    <w:div w:id="1538473276">
      <w:bodyDiv w:val="1"/>
      <w:marLeft w:val="0"/>
      <w:marRight w:val="0"/>
      <w:marTop w:val="0"/>
      <w:marBottom w:val="0"/>
      <w:divBdr>
        <w:top w:val="none" w:sz="0" w:space="0" w:color="auto"/>
        <w:left w:val="none" w:sz="0" w:space="0" w:color="auto"/>
        <w:bottom w:val="none" w:sz="0" w:space="0" w:color="auto"/>
        <w:right w:val="none" w:sz="0" w:space="0" w:color="auto"/>
      </w:divBdr>
    </w:div>
    <w:div w:id="1639648762">
      <w:bodyDiv w:val="1"/>
      <w:marLeft w:val="0"/>
      <w:marRight w:val="0"/>
      <w:marTop w:val="0"/>
      <w:marBottom w:val="0"/>
      <w:divBdr>
        <w:top w:val="none" w:sz="0" w:space="0" w:color="auto"/>
        <w:left w:val="none" w:sz="0" w:space="0" w:color="auto"/>
        <w:bottom w:val="none" w:sz="0" w:space="0" w:color="auto"/>
        <w:right w:val="none" w:sz="0" w:space="0" w:color="auto"/>
      </w:divBdr>
    </w:div>
    <w:div w:id="1945070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rianas@andromeda.rutger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i.kabiri@buckingham.ac.uk" TargetMode="External"/><Relationship Id="rId4" Type="http://schemas.openxmlformats.org/officeDocument/2006/relationships/settings" Target="settings.xml"/><Relationship Id="rId9" Type="http://schemas.openxmlformats.org/officeDocument/2006/relationships/hyperlink" Target="mailto:vlad.manole@andromeda.rutger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D8B8-30F0-4FAE-AE49-F4EF7140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Links>
    <vt:vector size="18" baseType="variant">
      <vt:variant>
        <vt:i4>63</vt:i4>
      </vt:variant>
      <vt:variant>
        <vt:i4>6</vt:i4>
      </vt:variant>
      <vt:variant>
        <vt:i4>0</vt:i4>
      </vt:variant>
      <vt:variant>
        <vt:i4>5</vt:i4>
      </vt:variant>
      <vt:variant>
        <vt:lpwstr>mailto:ali.kabiri@buckingham.ac.uk</vt:lpwstr>
      </vt:variant>
      <vt:variant>
        <vt:lpwstr/>
      </vt:variant>
      <vt:variant>
        <vt:i4>6160508</vt:i4>
      </vt:variant>
      <vt:variant>
        <vt:i4>3</vt:i4>
      </vt:variant>
      <vt:variant>
        <vt:i4>0</vt:i4>
      </vt:variant>
      <vt:variant>
        <vt:i4>5</vt:i4>
      </vt:variant>
      <vt:variant>
        <vt:lpwstr>mailto:vlad.manole@andromeda.rutgers.edu</vt:lpwstr>
      </vt:variant>
      <vt:variant>
        <vt:lpwstr/>
      </vt:variant>
      <vt:variant>
        <vt:i4>2883652</vt:i4>
      </vt:variant>
      <vt:variant>
        <vt:i4>0</vt:i4>
      </vt:variant>
      <vt:variant>
        <vt:i4>0</vt:i4>
      </vt:variant>
      <vt:variant>
        <vt:i4>5</vt:i4>
      </vt:variant>
      <vt:variant>
        <vt:lpwstr>mailto:marianas@andromeda.rutgers.edu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Spatareanu</dc:creator>
  <cp:lastModifiedBy>diana.hilmer</cp:lastModifiedBy>
  <cp:revision>2</cp:revision>
  <dcterms:created xsi:type="dcterms:W3CDTF">2016-05-06T15:11:00Z</dcterms:created>
  <dcterms:modified xsi:type="dcterms:W3CDTF">2016-05-06T15:11:00Z</dcterms:modified>
</cp:coreProperties>
</file>